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F7B" w:rsidRPr="0093001A" w:rsidRDefault="00532F7B" w:rsidP="0093001A">
      <w:pPr>
        <w:jc w:val="center"/>
        <w:rPr>
          <w:rFonts w:ascii="Verdana" w:hAnsi="Verdana"/>
          <w:b/>
          <w:sz w:val="22"/>
          <w:szCs w:val="22"/>
        </w:rPr>
      </w:pPr>
      <w:r>
        <w:rPr>
          <w:rFonts w:ascii="Verdana" w:hAnsi="Verdana"/>
          <w:b/>
          <w:sz w:val="22"/>
          <w:szCs w:val="22"/>
        </w:rPr>
        <w:t>Prepared by Eye Goes Green.  Lead author:  Peter Gudde</w:t>
      </w:r>
    </w:p>
    <w:p w:rsidR="0093001A" w:rsidRDefault="0093001A" w:rsidP="0093001A">
      <w:pPr>
        <w:jc w:val="center"/>
        <w:rPr>
          <w:rFonts w:ascii="Verdana" w:hAnsi="Verdana"/>
          <w:b/>
          <w:sz w:val="22"/>
          <w:szCs w:val="22"/>
        </w:rPr>
      </w:pPr>
    </w:p>
    <w:p w:rsidR="0093001A" w:rsidRDefault="0093001A" w:rsidP="0093001A">
      <w:pPr>
        <w:rPr>
          <w:rFonts w:ascii="Verdana" w:hAnsi="Verdana"/>
          <w:b/>
          <w:sz w:val="22"/>
          <w:szCs w:val="22"/>
        </w:rPr>
      </w:pPr>
      <w:r>
        <w:rPr>
          <w:rFonts w:ascii="Verdana" w:hAnsi="Verdana"/>
          <w:b/>
          <w:sz w:val="22"/>
          <w:szCs w:val="22"/>
        </w:rPr>
        <w:t>Key points</w:t>
      </w:r>
    </w:p>
    <w:p w:rsidR="0093001A" w:rsidRDefault="0093001A" w:rsidP="0093001A">
      <w:pPr>
        <w:rPr>
          <w:rFonts w:ascii="Verdana" w:hAnsi="Verdana"/>
          <w:b/>
          <w:sz w:val="22"/>
          <w:szCs w:val="22"/>
        </w:rPr>
      </w:pPr>
    </w:p>
    <w:p w:rsidR="0093001A" w:rsidRPr="00532F7B" w:rsidRDefault="0057747E" w:rsidP="0093001A">
      <w:pPr>
        <w:rPr>
          <w:rFonts w:ascii="Verdana" w:hAnsi="Verdana"/>
          <w:b/>
          <w:sz w:val="20"/>
          <w:szCs w:val="20"/>
        </w:rPr>
      </w:pPr>
      <w:r w:rsidRPr="00532F7B">
        <w:rPr>
          <w:rFonts w:ascii="Verdana" w:hAnsi="Verdana"/>
          <w:b/>
          <w:sz w:val="20"/>
          <w:szCs w:val="20"/>
        </w:rPr>
        <w:t>National and regional p</w:t>
      </w:r>
      <w:r w:rsidR="0093001A" w:rsidRPr="00532F7B">
        <w:rPr>
          <w:rFonts w:ascii="Verdana" w:hAnsi="Verdana"/>
          <w:b/>
          <w:sz w:val="20"/>
          <w:szCs w:val="20"/>
        </w:rPr>
        <w:t>olicy</w:t>
      </w:r>
      <w:r w:rsidR="00971209" w:rsidRPr="00532F7B">
        <w:rPr>
          <w:rFonts w:ascii="Verdana" w:hAnsi="Verdana"/>
          <w:b/>
          <w:sz w:val="20"/>
          <w:szCs w:val="20"/>
        </w:rPr>
        <w:t xml:space="preserve"> landscape</w:t>
      </w:r>
      <w:r w:rsidR="0093001A" w:rsidRPr="00532F7B">
        <w:rPr>
          <w:rFonts w:ascii="Verdana" w:hAnsi="Verdana"/>
          <w:b/>
          <w:sz w:val="20"/>
          <w:szCs w:val="20"/>
        </w:rPr>
        <w:t>:</w:t>
      </w:r>
    </w:p>
    <w:p w:rsidR="0093001A" w:rsidRPr="00532F7B" w:rsidRDefault="0093001A" w:rsidP="0093001A">
      <w:pPr>
        <w:rPr>
          <w:rFonts w:ascii="Verdana" w:hAnsi="Verdana"/>
          <w:i/>
          <w:sz w:val="20"/>
          <w:szCs w:val="20"/>
        </w:rPr>
      </w:pPr>
      <w:r w:rsidRPr="00532F7B">
        <w:rPr>
          <w:rFonts w:ascii="Verdana" w:hAnsi="Verdana"/>
          <w:i/>
          <w:sz w:val="20"/>
          <w:szCs w:val="20"/>
        </w:rPr>
        <w:t>Road to Zero Strategy</w:t>
      </w:r>
      <w:r w:rsidRPr="00532F7B">
        <w:rPr>
          <w:rFonts w:ascii="Verdana" w:hAnsi="Verdana"/>
          <w:sz w:val="20"/>
          <w:szCs w:val="20"/>
        </w:rPr>
        <w:t xml:space="preserve"> published in July 2018</w:t>
      </w:r>
      <w:r w:rsidR="00C27E80" w:rsidRPr="00532F7B">
        <w:rPr>
          <w:rStyle w:val="FootnoteReference"/>
          <w:rFonts w:ascii="Verdana" w:hAnsi="Verdana"/>
          <w:sz w:val="20"/>
          <w:szCs w:val="20"/>
        </w:rPr>
        <w:footnoteReference w:id="1"/>
      </w:r>
      <w:r w:rsidRPr="00532F7B">
        <w:rPr>
          <w:rFonts w:ascii="Verdana" w:hAnsi="Verdana"/>
          <w:sz w:val="20"/>
          <w:szCs w:val="20"/>
        </w:rPr>
        <w:t xml:space="preserve">.  The government has confirmed </w:t>
      </w:r>
      <w:r w:rsidR="00AB17C3" w:rsidRPr="00532F7B">
        <w:rPr>
          <w:rFonts w:ascii="Verdana" w:hAnsi="Verdana"/>
          <w:sz w:val="20"/>
          <w:szCs w:val="20"/>
        </w:rPr>
        <w:t>“</w:t>
      </w:r>
      <w:r w:rsidR="00FC7C2E" w:rsidRPr="00532F7B">
        <w:rPr>
          <w:rFonts w:ascii="Verdana" w:hAnsi="Verdana"/>
          <w:i/>
          <w:sz w:val="20"/>
          <w:szCs w:val="20"/>
        </w:rPr>
        <w:t>it’s</w:t>
      </w:r>
      <w:r w:rsidRPr="00532F7B">
        <w:rPr>
          <w:rFonts w:ascii="Verdana" w:hAnsi="Verdana"/>
          <w:i/>
          <w:sz w:val="20"/>
          <w:szCs w:val="20"/>
        </w:rPr>
        <w:t xml:space="preserve"> ambition to see at least half of new cars to be </w:t>
      </w:r>
      <w:r w:rsidR="00532F7B" w:rsidRPr="00532F7B">
        <w:rPr>
          <w:rFonts w:ascii="Verdana" w:hAnsi="Verdana"/>
          <w:i/>
          <w:sz w:val="20"/>
          <w:szCs w:val="20"/>
        </w:rPr>
        <w:t>ultra-low</w:t>
      </w:r>
      <w:r w:rsidRPr="00532F7B">
        <w:rPr>
          <w:rFonts w:ascii="Verdana" w:hAnsi="Verdana"/>
          <w:i/>
          <w:sz w:val="20"/>
          <w:szCs w:val="20"/>
        </w:rPr>
        <w:t xml:space="preserve"> emission by 2030 as part of plans to make the UK the best place in the world to build and own an electric vehicle.</w:t>
      </w:r>
      <w:r w:rsidR="00AB17C3" w:rsidRPr="00532F7B">
        <w:rPr>
          <w:rFonts w:ascii="Verdana" w:hAnsi="Verdana"/>
          <w:i/>
          <w:sz w:val="20"/>
          <w:szCs w:val="20"/>
        </w:rPr>
        <w:t>”</w:t>
      </w:r>
    </w:p>
    <w:p w:rsidR="0093001A" w:rsidRPr="00532F7B" w:rsidRDefault="0093001A" w:rsidP="0093001A">
      <w:pPr>
        <w:rPr>
          <w:rFonts w:ascii="Verdana" w:hAnsi="Verdana"/>
          <w:sz w:val="20"/>
          <w:szCs w:val="20"/>
        </w:rPr>
      </w:pPr>
    </w:p>
    <w:p w:rsidR="0093001A" w:rsidRPr="00532F7B" w:rsidRDefault="0093001A" w:rsidP="0093001A">
      <w:pPr>
        <w:rPr>
          <w:rFonts w:ascii="Verdana" w:hAnsi="Verdana"/>
          <w:sz w:val="20"/>
          <w:szCs w:val="20"/>
        </w:rPr>
      </w:pPr>
      <w:r w:rsidRPr="00532F7B">
        <w:rPr>
          <w:rFonts w:ascii="Verdana" w:hAnsi="Verdana"/>
          <w:sz w:val="20"/>
          <w:szCs w:val="20"/>
        </w:rPr>
        <w:t xml:space="preserve">Clean Growth Strategy published October 2017.  </w:t>
      </w:r>
      <w:r w:rsidR="00AB17C3" w:rsidRPr="00532F7B">
        <w:rPr>
          <w:rFonts w:ascii="Verdana" w:hAnsi="Verdana"/>
          <w:sz w:val="20"/>
          <w:szCs w:val="20"/>
        </w:rPr>
        <w:t>“</w:t>
      </w:r>
      <w:r w:rsidRPr="00532F7B">
        <w:rPr>
          <w:rFonts w:ascii="Verdana" w:hAnsi="Verdana"/>
          <w:i/>
          <w:sz w:val="20"/>
          <w:szCs w:val="20"/>
        </w:rPr>
        <w:t>To meet our 2050 target, almost every car and van will need to be zero emission by 2050. The Government has announced an end to the sale of all new conventional petrol and diesel cars and vans by 2040.  Walking and cycling will be made easier for many shorter journeys.  By 2040, we want cycling and walking to be the natural choices for shorter journeys, or as part of a longer journey.</w:t>
      </w:r>
      <w:r w:rsidR="00AB17C3" w:rsidRPr="00532F7B">
        <w:rPr>
          <w:rFonts w:ascii="Verdana" w:hAnsi="Verdana"/>
          <w:i/>
          <w:sz w:val="20"/>
          <w:szCs w:val="20"/>
        </w:rPr>
        <w:t>”</w:t>
      </w:r>
    </w:p>
    <w:p w:rsidR="0093001A" w:rsidRPr="00532F7B" w:rsidRDefault="0093001A" w:rsidP="0093001A">
      <w:pPr>
        <w:rPr>
          <w:rFonts w:ascii="Verdana" w:hAnsi="Verdana"/>
          <w:sz w:val="20"/>
          <w:szCs w:val="20"/>
        </w:rPr>
      </w:pPr>
    </w:p>
    <w:p w:rsidR="0093001A" w:rsidRPr="00532F7B" w:rsidRDefault="0093001A" w:rsidP="0093001A">
      <w:pPr>
        <w:rPr>
          <w:rFonts w:ascii="Verdana" w:hAnsi="Verdana"/>
          <w:i/>
          <w:sz w:val="20"/>
          <w:szCs w:val="20"/>
        </w:rPr>
      </w:pPr>
      <w:r w:rsidRPr="00532F7B">
        <w:rPr>
          <w:rFonts w:ascii="Verdana" w:hAnsi="Verdana"/>
          <w:sz w:val="20"/>
          <w:szCs w:val="20"/>
        </w:rPr>
        <w:t xml:space="preserve">National Planning Policy Framework, revised July 2018.  Section 188 states that </w:t>
      </w:r>
      <w:r w:rsidR="00AB17C3" w:rsidRPr="00532F7B">
        <w:rPr>
          <w:rFonts w:ascii="Verdana" w:hAnsi="Verdana"/>
          <w:sz w:val="20"/>
          <w:szCs w:val="20"/>
        </w:rPr>
        <w:t>“</w:t>
      </w:r>
      <w:r w:rsidRPr="00532F7B">
        <w:rPr>
          <w:rFonts w:ascii="Verdana" w:hAnsi="Verdana"/>
          <w:i/>
          <w:sz w:val="20"/>
          <w:szCs w:val="20"/>
        </w:rPr>
        <w:t>applications for development should</w:t>
      </w:r>
      <w:r w:rsidR="00AB17C3" w:rsidRPr="00532F7B">
        <w:rPr>
          <w:rFonts w:ascii="Verdana" w:hAnsi="Verdana"/>
          <w:i/>
          <w:sz w:val="20"/>
          <w:szCs w:val="20"/>
        </w:rPr>
        <w:t>…</w:t>
      </w:r>
      <w:r w:rsidR="00AB17C3" w:rsidRPr="00532F7B">
        <w:rPr>
          <w:sz w:val="20"/>
          <w:szCs w:val="20"/>
        </w:rPr>
        <w:t xml:space="preserve"> </w:t>
      </w:r>
      <w:r w:rsidR="00AB17C3" w:rsidRPr="00532F7B">
        <w:rPr>
          <w:rFonts w:ascii="Verdana" w:hAnsi="Verdana"/>
          <w:i/>
          <w:sz w:val="20"/>
          <w:szCs w:val="20"/>
        </w:rPr>
        <w:t>be designed to enable charging of plug-in and other ultra-low emission vehicles in safe, accessible and convenient locations.”</w:t>
      </w:r>
    </w:p>
    <w:p w:rsidR="00971209" w:rsidRPr="00532F7B" w:rsidRDefault="00971209" w:rsidP="0093001A">
      <w:pPr>
        <w:rPr>
          <w:rFonts w:ascii="Verdana" w:hAnsi="Verdana"/>
          <w:i/>
          <w:sz w:val="20"/>
          <w:szCs w:val="20"/>
        </w:rPr>
      </w:pPr>
    </w:p>
    <w:p w:rsidR="0057747E" w:rsidRDefault="0057747E" w:rsidP="0093001A">
      <w:pPr>
        <w:rPr>
          <w:rFonts w:ascii="Verdana" w:hAnsi="Verdana"/>
          <w:sz w:val="20"/>
          <w:szCs w:val="20"/>
        </w:rPr>
      </w:pPr>
      <w:r w:rsidRPr="00532F7B">
        <w:rPr>
          <w:rFonts w:ascii="Verdana" w:hAnsi="Verdana"/>
          <w:sz w:val="20"/>
          <w:szCs w:val="20"/>
        </w:rPr>
        <w:t>Local Energy East Strategy, published May 2018.  Section 7 sets out plans to support clean transport networks.</w:t>
      </w:r>
    </w:p>
    <w:p w:rsidR="0009316A" w:rsidRDefault="0009316A" w:rsidP="0093001A">
      <w:pPr>
        <w:rPr>
          <w:rFonts w:ascii="Verdana" w:hAnsi="Verdana"/>
          <w:sz w:val="20"/>
          <w:szCs w:val="20"/>
        </w:rPr>
      </w:pPr>
    </w:p>
    <w:p w:rsidR="0009316A" w:rsidRDefault="0009316A" w:rsidP="0009316A">
      <w:pPr>
        <w:rPr>
          <w:rFonts w:ascii="Verdana" w:hAnsi="Verdana"/>
          <w:i/>
          <w:sz w:val="20"/>
          <w:szCs w:val="20"/>
        </w:rPr>
      </w:pPr>
      <w:r>
        <w:rPr>
          <w:rFonts w:ascii="Verdana" w:hAnsi="Verdana"/>
          <w:sz w:val="20"/>
          <w:szCs w:val="20"/>
        </w:rPr>
        <w:t>UK Power Networks published their Flexibility road map – Future Smart; a smart grid for all published in July 2018.  Increased power demand will in part “</w:t>
      </w:r>
      <w:r w:rsidRPr="0009316A">
        <w:rPr>
          <w:rFonts w:ascii="Verdana" w:hAnsi="Verdana"/>
          <w:i/>
          <w:sz w:val="20"/>
          <w:szCs w:val="20"/>
        </w:rPr>
        <w:t>be driven by EV costs reaching a point where mass take-up is feasible</w:t>
      </w:r>
      <w:r>
        <w:rPr>
          <w:rFonts w:ascii="Verdana" w:hAnsi="Verdana"/>
          <w:i/>
          <w:sz w:val="20"/>
          <w:szCs w:val="20"/>
        </w:rPr>
        <w:t>.”</w:t>
      </w:r>
    </w:p>
    <w:p w:rsidR="0009316A" w:rsidRDefault="0009316A" w:rsidP="0009316A">
      <w:pPr>
        <w:rPr>
          <w:rFonts w:ascii="Verdana" w:hAnsi="Verdana"/>
          <w:sz w:val="20"/>
          <w:szCs w:val="20"/>
        </w:rPr>
      </w:pPr>
    </w:p>
    <w:p w:rsidR="0009316A" w:rsidRPr="0009316A" w:rsidRDefault="0009316A" w:rsidP="0009316A">
      <w:pPr>
        <w:rPr>
          <w:rFonts w:ascii="Verdana" w:hAnsi="Verdana"/>
          <w:sz w:val="20"/>
          <w:szCs w:val="20"/>
        </w:rPr>
      </w:pPr>
      <w:r>
        <w:rPr>
          <w:rFonts w:ascii="Verdana" w:hAnsi="Verdana"/>
          <w:sz w:val="20"/>
          <w:szCs w:val="20"/>
        </w:rPr>
        <w:t xml:space="preserve">Suffolk County Council Highways Parking standards updated in 2015 </w:t>
      </w:r>
      <w:r w:rsidR="00892C2A">
        <w:rPr>
          <w:rFonts w:ascii="Verdana" w:hAnsi="Verdana"/>
          <w:sz w:val="20"/>
          <w:szCs w:val="20"/>
        </w:rPr>
        <w:t>–</w:t>
      </w:r>
      <w:r>
        <w:rPr>
          <w:rFonts w:ascii="Verdana" w:hAnsi="Verdana"/>
          <w:sz w:val="20"/>
          <w:szCs w:val="20"/>
        </w:rPr>
        <w:t xml:space="preserve"> </w:t>
      </w:r>
      <w:r w:rsidR="00892C2A">
        <w:rPr>
          <w:rFonts w:ascii="Verdana" w:hAnsi="Verdana"/>
          <w:sz w:val="20"/>
          <w:szCs w:val="20"/>
        </w:rPr>
        <w:t>establishing min</w:t>
      </w:r>
      <w:r w:rsidR="00AF044F">
        <w:rPr>
          <w:rFonts w:ascii="Verdana" w:hAnsi="Verdana"/>
          <w:sz w:val="20"/>
          <w:szCs w:val="20"/>
        </w:rPr>
        <w:t>im</w:t>
      </w:r>
      <w:r w:rsidR="00892C2A">
        <w:rPr>
          <w:rFonts w:ascii="Verdana" w:hAnsi="Verdana"/>
          <w:sz w:val="20"/>
          <w:szCs w:val="20"/>
        </w:rPr>
        <w:t>um required standards for EV charging provision and design.</w:t>
      </w:r>
    </w:p>
    <w:p w:rsidR="0057747E" w:rsidRPr="00532F7B" w:rsidRDefault="0057747E" w:rsidP="0093001A">
      <w:pPr>
        <w:rPr>
          <w:rFonts w:ascii="Verdana" w:hAnsi="Verdana"/>
          <w:sz w:val="20"/>
          <w:szCs w:val="20"/>
        </w:rPr>
      </w:pPr>
    </w:p>
    <w:p w:rsidR="00532F7B" w:rsidRDefault="00C27E80" w:rsidP="00C27E80">
      <w:pPr>
        <w:rPr>
          <w:rFonts w:ascii="Verdana" w:hAnsi="Verdana"/>
          <w:b/>
          <w:sz w:val="20"/>
          <w:szCs w:val="20"/>
        </w:rPr>
      </w:pPr>
      <w:r w:rsidRPr="00532F7B">
        <w:rPr>
          <w:rFonts w:ascii="Verdana" w:hAnsi="Verdana"/>
          <w:b/>
          <w:sz w:val="20"/>
          <w:szCs w:val="20"/>
        </w:rPr>
        <w:t>EV basics</w:t>
      </w:r>
    </w:p>
    <w:p w:rsidR="00C27E80" w:rsidRPr="00532F7B" w:rsidRDefault="00C27E80" w:rsidP="00C27E80">
      <w:pPr>
        <w:rPr>
          <w:rFonts w:ascii="Verdana" w:hAnsi="Verdana"/>
          <w:sz w:val="20"/>
          <w:szCs w:val="20"/>
        </w:rPr>
      </w:pPr>
      <w:r w:rsidRPr="00532F7B">
        <w:rPr>
          <w:rFonts w:ascii="Verdana" w:hAnsi="Verdana"/>
          <w:sz w:val="20"/>
          <w:szCs w:val="20"/>
        </w:rPr>
        <w:t>There are three main types of electric vehicle or ‘EV’: Battery electric vehicles (BEVs), Plug-in hybrid electric vehicles (PHEVs), and range extended electric vehicles (E-REVs)</w:t>
      </w:r>
      <w:r w:rsidR="00424BBC" w:rsidRPr="00532F7B">
        <w:rPr>
          <w:rStyle w:val="FootnoteReference"/>
          <w:rFonts w:ascii="Verdana" w:hAnsi="Verdana"/>
          <w:sz w:val="20"/>
          <w:szCs w:val="20"/>
        </w:rPr>
        <w:footnoteReference w:id="2"/>
      </w:r>
      <w:r w:rsidRPr="00532F7B">
        <w:rPr>
          <w:rFonts w:ascii="Verdana" w:hAnsi="Verdana"/>
          <w:sz w:val="20"/>
          <w:szCs w:val="20"/>
        </w:rPr>
        <w:t>.</w:t>
      </w:r>
    </w:p>
    <w:p w:rsidR="00C27E80" w:rsidRPr="00532F7B" w:rsidRDefault="00C27E80" w:rsidP="00C27E80">
      <w:pPr>
        <w:rPr>
          <w:rFonts w:ascii="Verdana" w:hAnsi="Verdana"/>
          <w:sz w:val="20"/>
          <w:szCs w:val="20"/>
        </w:rPr>
      </w:pPr>
    </w:p>
    <w:p w:rsidR="00C27E80" w:rsidRPr="00532F7B" w:rsidRDefault="00C27E80" w:rsidP="00C27E80">
      <w:pPr>
        <w:rPr>
          <w:rFonts w:ascii="Verdana" w:hAnsi="Verdana"/>
          <w:sz w:val="20"/>
          <w:szCs w:val="20"/>
        </w:rPr>
      </w:pPr>
      <w:r w:rsidRPr="00532F7B">
        <w:rPr>
          <w:rFonts w:ascii="Verdana" w:hAnsi="Verdana"/>
          <w:sz w:val="20"/>
          <w:szCs w:val="20"/>
        </w:rPr>
        <w:t>Electric vehicles are zero-emission at point of use. However, emissions are produced during</w:t>
      </w:r>
      <w:r w:rsidR="00532F7B">
        <w:rPr>
          <w:rFonts w:ascii="Verdana" w:hAnsi="Verdana"/>
          <w:sz w:val="20"/>
          <w:szCs w:val="20"/>
        </w:rPr>
        <w:t xml:space="preserve"> the generation of electricity,</w:t>
      </w:r>
      <w:r w:rsidRPr="00532F7B">
        <w:rPr>
          <w:rFonts w:ascii="Verdana" w:hAnsi="Verdana"/>
          <w:sz w:val="20"/>
          <w:szCs w:val="20"/>
        </w:rPr>
        <w:t xml:space="preserve"> the amount depending on the method of generation. Therefore, the emissions need to be considered on a life cycle basis so as to include power station emissions.</w:t>
      </w:r>
    </w:p>
    <w:p w:rsidR="00C27E80" w:rsidRPr="00532F7B" w:rsidRDefault="00C27E80" w:rsidP="00C27E80">
      <w:pPr>
        <w:rPr>
          <w:rFonts w:ascii="Verdana" w:hAnsi="Verdana"/>
          <w:sz w:val="20"/>
          <w:szCs w:val="20"/>
        </w:rPr>
      </w:pPr>
    </w:p>
    <w:p w:rsidR="00C27E80" w:rsidRPr="00532F7B" w:rsidRDefault="00C27E80" w:rsidP="00C27E80">
      <w:pPr>
        <w:rPr>
          <w:rFonts w:ascii="Verdana" w:hAnsi="Verdana"/>
          <w:sz w:val="20"/>
          <w:szCs w:val="20"/>
        </w:rPr>
      </w:pPr>
      <w:r w:rsidRPr="00532F7B">
        <w:rPr>
          <w:rFonts w:ascii="Verdana" w:hAnsi="Verdana"/>
          <w:sz w:val="20"/>
          <w:szCs w:val="20"/>
        </w:rPr>
        <w:t>For climate change gases (such as CO</w:t>
      </w:r>
      <w:r w:rsidRPr="00532F7B">
        <w:rPr>
          <w:rFonts w:ascii="Verdana" w:hAnsi="Verdana"/>
          <w:sz w:val="20"/>
          <w:szCs w:val="20"/>
          <w:vertAlign w:val="subscript"/>
        </w:rPr>
        <w:t>2</w:t>
      </w:r>
      <w:r w:rsidRPr="00532F7B">
        <w:rPr>
          <w:rFonts w:ascii="Verdana" w:hAnsi="Verdana"/>
          <w:sz w:val="20"/>
          <w:szCs w:val="20"/>
        </w:rPr>
        <w:t>), electric cars charged using average UK ‘mains’ electricity show a significant reduction in emissions. Th</w:t>
      </w:r>
      <w:r w:rsidR="0057747E" w:rsidRPr="00532F7B">
        <w:rPr>
          <w:rFonts w:ascii="Verdana" w:hAnsi="Verdana"/>
          <w:sz w:val="20"/>
          <w:szCs w:val="20"/>
        </w:rPr>
        <w:t>is is improving all the time</w:t>
      </w:r>
      <w:r w:rsidRPr="00532F7B">
        <w:rPr>
          <w:rFonts w:ascii="Verdana" w:hAnsi="Verdana"/>
          <w:sz w:val="20"/>
          <w:szCs w:val="20"/>
        </w:rPr>
        <w:t>, as the UK’s electricity mix is increasingly made up of a greater ratio of renewable energy.</w:t>
      </w:r>
    </w:p>
    <w:p w:rsidR="0057747E" w:rsidRPr="00532F7B" w:rsidRDefault="0057747E" w:rsidP="00C27E80">
      <w:pPr>
        <w:rPr>
          <w:rFonts w:ascii="Verdana" w:hAnsi="Verdana"/>
          <w:sz w:val="20"/>
          <w:szCs w:val="20"/>
        </w:rPr>
      </w:pPr>
    </w:p>
    <w:p w:rsidR="0057747E" w:rsidRPr="00532F7B" w:rsidRDefault="0057747E" w:rsidP="00C27E80">
      <w:pPr>
        <w:rPr>
          <w:rFonts w:ascii="Verdana" w:hAnsi="Verdana"/>
          <w:sz w:val="20"/>
          <w:szCs w:val="20"/>
        </w:rPr>
      </w:pPr>
      <w:r w:rsidRPr="00532F7B">
        <w:rPr>
          <w:rFonts w:ascii="Verdana" w:hAnsi="Verdana"/>
          <w:sz w:val="20"/>
          <w:szCs w:val="20"/>
        </w:rPr>
        <w:t xml:space="preserve">Barriers to </w:t>
      </w:r>
      <w:r w:rsidR="00532F7B">
        <w:rPr>
          <w:rFonts w:ascii="Verdana" w:hAnsi="Verdana"/>
          <w:sz w:val="20"/>
          <w:szCs w:val="20"/>
        </w:rPr>
        <w:t xml:space="preserve">EV </w:t>
      </w:r>
      <w:r w:rsidRPr="00532F7B">
        <w:rPr>
          <w:rFonts w:ascii="Verdana" w:hAnsi="Verdana"/>
          <w:sz w:val="20"/>
          <w:szCs w:val="20"/>
        </w:rPr>
        <w:t>uptake include:</w:t>
      </w:r>
    </w:p>
    <w:p w:rsidR="0057747E" w:rsidRPr="00532F7B" w:rsidRDefault="0057747E" w:rsidP="00C27E80">
      <w:pPr>
        <w:rPr>
          <w:rFonts w:ascii="Verdana" w:hAnsi="Verdana"/>
          <w:sz w:val="20"/>
          <w:szCs w:val="20"/>
        </w:rPr>
      </w:pPr>
    </w:p>
    <w:p w:rsidR="0057747E" w:rsidRPr="00532F7B" w:rsidRDefault="0057747E" w:rsidP="0057747E">
      <w:pPr>
        <w:pStyle w:val="ListParagraph"/>
        <w:numPr>
          <w:ilvl w:val="0"/>
          <w:numId w:val="6"/>
        </w:numPr>
        <w:rPr>
          <w:rFonts w:ascii="Verdana" w:hAnsi="Verdana"/>
          <w:sz w:val="20"/>
          <w:szCs w:val="20"/>
        </w:rPr>
      </w:pPr>
      <w:r w:rsidRPr="00532F7B">
        <w:rPr>
          <w:rFonts w:ascii="Verdana" w:hAnsi="Verdana"/>
          <w:sz w:val="20"/>
          <w:szCs w:val="20"/>
        </w:rPr>
        <w:t xml:space="preserve">Purchase price compare to conventional </w:t>
      </w:r>
      <w:r w:rsidR="00532F7B" w:rsidRPr="00532F7B">
        <w:rPr>
          <w:rFonts w:ascii="Verdana" w:hAnsi="Verdana"/>
          <w:sz w:val="20"/>
          <w:szCs w:val="20"/>
        </w:rPr>
        <w:t>alternatives</w:t>
      </w:r>
    </w:p>
    <w:p w:rsidR="0057747E" w:rsidRPr="00532F7B" w:rsidRDefault="0057747E" w:rsidP="0057747E">
      <w:pPr>
        <w:pStyle w:val="ListParagraph"/>
        <w:numPr>
          <w:ilvl w:val="0"/>
          <w:numId w:val="6"/>
        </w:numPr>
        <w:rPr>
          <w:rFonts w:ascii="Verdana" w:hAnsi="Verdana"/>
          <w:sz w:val="20"/>
          <w:szCs w:val="20"/>
        </w:rPr>
      </w:pPr>
      <w:r w:rsidRPr="00532F7B">
        <w:rPr>
          <w:rFonts w:ascii="Verdana" w:hAnsi="Verdana"/>
          <w:sz w:val="20"/>
          <w:szCs w:val="20"/>
        </w:rPr>
        <w:t>Range anxiety liked to the capacity of the battery</w:t>
      </w:r>
    </w:p>
    <w:p w:rsidR="0057747E" w:rsidRPr="00532F7B" w:rsidRDefault="0057747E" w:rsidP="0057747E">
      <w:pPr>
        <w:pStyle w:val="ListParagraph"/>
        <w:numPr>
          <w:ilvl w:val="0"/>
          <w:numId w:val="6"/>
        </w:numPr>
        <w:rPr>
          <w:rFonts w:ascii="Verdana" w:hAnsi="Verdana"/>
          <w:sz w:val="20"/>
          <w:szCs w:val="20"/>
        </w:rPr>
      </w:pPr>
      <w:r w:rsidRPr="00532F7B">
        <w:rPr>
          <w:rFonts w:ascii="Verdana" w:hAnsi="Verdana"/>
          <w:sz w:val="20"/>
          <w:szCs w:val="20"/>
        </w:rPr>
        <w:t>Reluctance to shift to a new technology</w:t>
      </w:r>
    </w:p>
    <w:p w:rsidR="0057747E" w:rsidRPr="00532F7B" w:rsidRDefault="0057747E" w:rsidP="0057747E">
      <w:pPr>
        <w:pStyle w:val="ListParagraph"/>
        <w:numPr>
          <w:ilvl w:val="0"/>
          <w:numId w:val="6"/>
        </w:numPr>
        <w:rPr>
          <w:rFonts w:ascii="Verdana" w:hAnsi="Verdana"/>
          <w:sz w:val="20"/>
          <w:szCs w:val="20"/>
        </w:rPr>
      </w:pPr>
      <w:r w:rsidRPr="00532F7B">
        <w:rPr>
          <w:rFonts w:ascii="Verdana" w:hAnsi="Verdana"/>
          <w:sz w:val="20"/>
          <w:szCs w:val="20"/>
        </w:rPr>
        <w:t>Lack of adequate vehicle charging infrastructure.</w:t>
      </w:r>
    </w:p>
    <w:p w:rsidR="00C27E80" w:rsidRDefault="00C27E80" w:rsidP="00C27E80">
      <w:pPr>
        <w:rPr>
          <w:rFonts w:ascii="Verdana" w:hAnsi="Verdana"/>
          <w:sz w:val="22"/>
          <w:szCs w:val="22"/>
        </w:rPr>
      </w:pPr>
    </w:p>
    <w:p w:rsidR="00CF5400" w:rsidRPr="00532F7B" w:rsidRDefault="00CF5400" w:rsidP="0093001A">
      <w:pPr>
        <w:rPr>
          <w:rFonts w:ascii="Verdana" w:hAnsi="Verdana"/>
          <w:b/>
          <w:sz w:val="20"/>
          <w:szCs w:val="20"/>
        </w:rPr>
      </w:pPr>
      <w:r w:rsidRPr="00532F7B">
        <w:rPr>
          <w:rFonts w:ascii="Verdana" w:hAnsi="Verdana"/>
          <w:b/>
          <w:sz w:val="20"/>
          <w:szCs w:val="20"/>
        </w:rPr>
        <w:t>Uptake and projection</w:t>
      </w:r>
    </w:p>
    <w:p w:rsidR="00FC733F" w:rsidRPr="00532F7B" w:rsidRDefault="00C27E80" w:rsidP="00C27E80">
      <w:pPr>
        <w:rPr>
          <w:rFonts w:ascii="Verdana" w:hAnsi="Verdana"/>
          <w:sz w:val="20"/>
          <w:szCs w:val="20"/>
        </w:rPr>
      </w:pPr>
      <w:r w:rsidRPr="00532F7B">
        <w:rPr>
          <w:rFonts w:ascii="Verdana" w:hAnsi="Verdana"/>
          <w:sz w:val="20"/>
          <w:szCs w:val="20"/>
        </w:rPr>
        <w:t>139,000 P</w:t>
      </w:r>
      <w:r w:rsidR="00FC733F" w:rsidRPr="00532F7B">
        <w:rPr>
          <w:rFonts w:ascii="Verdana" w:hAnsi="Verdana"/>
          <w:sz w:val="20"/>
          <w:szCs w:val="20"/>
        </w:rPr>
        <w:t>lug-in vehicles have been sold to date in the UK w</w:t>
      </w:r>
      <w:r w:rsidR="009F6B14">
        <w:rPr>
          <w:rFonts w:ascii="Verdana" w:hAnsi="Verdana"/>
          <w:sz w:val="20"/>
          <w:szCs w:val="20"/>
        </w:rPr>
        <w:t>ith new registrations showing 27</w:t>
      </w:r>
      <w:r w:rsidR="00FC733F" w:rsidRPr="00532F7B">
        <w:rPr>
          <w:rFonts w:ascii="Verdana" w:hAnsi="Verdana"/>
          <w:sz w:val="20"/>
          <w:szCs w:val="20"/>
        </w:rPr>
        <w:t>% growth</w:t>
      </w:r>
      <w:r w:rsidR="009F6B14">
        <w:rPr>
          <w:rFonts w:ascii="Verdana" w:hAnsi="Verdana"/>
          <w:sz w:val="20"/>
          <w:szCs w:val="20"/>
        </w:rPr>
        <w:t xml:space="preserve"> in 2016-17, while plug in hybrid sales have experienced 47% growth so far in 2018</w:t>
      </w:r>
      <w:r w:rsidR="00FC733F" w:rsidRPr="00532F7B">
        <w:rPr>
          <w:rFonts w:ascii="Verdana" w:hAnsi="Verdana"/>
          <w:sz w:val="20"/>
          <w:szCs w:val="20"/>
        </w:rPr>
        <w:t>.</w:t>
      </w:r>
      <w:r w:rsidR="00532F7B" w:rsidRPr="00532F7B">
        <w:t xml:space="preserve"> </w:t>
      </w:r>
      <w:r w:rsidR="00532F7B" w:rsidRPr="00532F7B">
        <w:rPr>
          <w:rFonts w:ascii="Verdana" w:hAnsi="Verdana"/>
          <w:sz w:val="20"/>
          <w:szCs w:val="20"/>
        </w:rPr>
        <w:t>The total number of EV connectors in the UK has increased from just over 12,539 in February 2017 to more than 17,000 by July 2018.</w:t>
      </w:r>
    </w:p>
    <w:p w:rsidR="00C27E80" w:rsidRPr="00C27E80" w:rsidRDefault="00DE2CFD" w:rsidP="00DE2CFD">
      <w:pPr>
        <w:jc w:val="center"/>
        <w:rPr>
          <w:rFonts w:ascii="Verdana" w:hAnsi="Verdana"/>
          <w:sz w:val="22"/>
          <w:szCs w:val="22"/>
        </w:rPr>
      </w:pPr>
      <w:r w:rsidRPr="00DE2CFD">
        <w:rPr>
          <w:rFonts w:ascii="Verdana" w:hAnsi="Verdana"/>
          <w:noProof/>
          <w:sz w:val="22"/>
          <w:szCs w:val="22"/>
        </w:rPr>
        <w:drawing>
          <wp:inline distT="0" distB="0" distL="0" distR="0">
            <wp:extent cx="2903358" cy="22858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2013" cy="2300534"/>
                    </a:xfrm>
                    <a:prstGeom prst="rect">
                      <a:avLst/>
                    </a:prstGeom>
                    <a:noFill/>
                    <a:ln>
                      <a:noFill/>
                    </a:ln>
                  </pic:spPr>
                </pic:pic>
              </a:graphicData>
            </a:graphic>
          </wp:inline>
        </w:drawing>
      </w:r>
    </w:p>
    <w:p w:rsidR="00DE2CFD" w:rsidRDefault="00DE2CFD" w:rsidP="00FC733F">
      <w:pPr>
        <w:jc w:val="center"/>
        <w:rPr>
          <w:rFonts w:ascii="Verdana" w:hAnsi="Verdana"/>
          <w:sz w:val="22"/>
          <w:szCs w:val="22"/>
        </w:rPr>
      </w:pPr>
      <w:r w:rsidRPr="00DE2CFD">
        <w:rPr>
          <w:rFonts w:ascii="Verdana" w:hAnsi="Verdana"/>
          <w:sz w:val="16"/>
          <w:szCs w:val="16"/>
        </w:rPr>
        <w:t>Figure 2: EV uptake</w:t>
      </w:r>
      <w:r>
        <w:rPr>
          <w:rStyle w:val="FootnoteReference"/>
          <w:rFonts w:ascii="Verdana" w:hAnsi="Verdana"/>
          <w:sz w:val="22"/>
          <w:szCs w:val="22"/>
        </w:rPr>
        <w:footnoteReference w:id="3"/>
      </w:r>
    </w:p>
    <w:p w:rsidR="00C27E80" w:rsidRDefault="00C27E80" w:rsidP="00C27E80">
      <w:pPr>
        <w:rPr>
          <w:rFonts w:ascii="Verdana" w:hAnsi="Verdana"/>
          <w:sz w:val="22"/>
          <w:szCs w:val="22"/>
        </w:rPr>
      </w:pPr>
    </w:p>
    <w:p w:rsidR="00CF5400" w:rsidRDefault="00DE2CFD" w:rsidP="00CF5400">
      <w:pPr>
        <w:rPr>
          <w:rFonts w:ascii="Verdana" w:hAnsi="Verdana"/>
          <w:sz w:val="20"/>
          <w:szCs w:val="20"/>
        </w:rPr>
      </w:pPr>
      <w:r w:rsidRPr="00532F7B">
        <w:rPr>
          <w:rFonts w:ascii="Verdana" w:hAnsi="Verdana"/>
          <w:sz w:val="20"/>
          <w:szCs w:val="20"/>
        </w:rPr>
        <w:t>By 2030</w:t>
      </w:r>
      <w:r w:rsidR="0057747E" w:rsidRPr="00532F7B">
        <w:rPr>
          <w:rFonts w:ascii="Verdana" w:hAnsi="Verdana"/>
          <w:sz w:val="20"/>
          <w:szCs w:val="20"/>
        </w:rPr>
        <w:t>,</w:t>
      </w:r>
      <w:r w:rsidRPr="00532F7B">
        <w:rPr>
          <w:rFonts w:ascii="Verdana" w:hAnsi="Verdana"/>
          <w:sz w:val="20"/>
          <w:szCs w:val="20"/>
        </w:rPr>
        <w:t xml:space="preserve"> it is </w:t>
      </w:r>
      <w:r w:rsidR="00CF5400" w:rsidRPr="00532F7B">
        <w:rPr>
          <w:rFonts w:ascii="Verdana" w:hAnsi="Verdana"/>
          <w:sz w:val="20"/>
          <w:szCs w:val="20"/>
        </w:rPr>
        <w:t>forecast that between 1.2 and 1.9 million additional EVs will be connected to the S</w:t>
      </w:r>
      <w:r w:rsidRPr="00532F7B">
        <w:rPr>
          <w:rFonts w:ascii="Verdana" w:hAnsi="Verdana"/>
          <w:sz w:val="20"/>
          <w:szCs w:val="20"/>
        </w:rPr>
        <w:t>outh East England power network</w:t>
      </w:r>
      <w:r w:rsidRPr="00532F7B">
        <w:rPr>
          <w:rStyle w:val="FootnoteReference"/>
          <w:rFonts w:ascii="Verdana" w:hAnsi="Verdana"/>
          <w:sz w:val="20"/>
          <w:szCs w:val="20"/>
        </w:rPr>
        <w:footnoteReference w:id="4"/>
      </w:r>
      <w:r w:rsidR="00532F7B">
        <w:rPr>
          <w:rFonts w:ascii="Verdana" w:hAnsi="Verdana"/>
          <w:sz w:val="20"/>
          <w:szCs w:val="20"/>
        </w:rPr>
        <w:t>.</w:t>
      </w:r>
    </w:p>
    <w:p w:rsidR="00532F7B" w:rsidRDefault="00532F7B" w:rsidP="00CF5400">
      <w:pPr>
        <w:rPr>
          <w:rFonts w:ascii="Verdana" w:hAnsi="Verdana"/>
          <w:sz w:val="20"/>
          <w:szCs w:val="20"/>
        </w:rPr>
      </w:pPr>
    </w:p>
    <w:p w:rsidR="009A3B6D" w:rsidRPr="00532F7B" w:rsidRDefault="0057747E" w:rsidP="0093001A">
      <w:pPr>
        <w:rPr>
          <w:rFonts w:ascii="Verdana" w:hAnsi="Verdana"/>
          <w:b/>
          <w:sz w:val="20"/>
          <w:szCs w:val="20"/>
        </w:rPr>
      </w:pPr>
      <w:r w:rsidRPr="00532F7B">
        <w:rPr>
          <w:rFonts w:ascii="Verdana" w:hAnsi="Verdana"/>
          <w:b/>
          <w:sz w:val="20"/>
          <w:szCs w:val="20"/>
        </w:rPr>
        <w:t xml:space="preserve">EV </w:t>
      </w:r>
      <w:r w:rsidR="009A3B6D" w:rsidRPr="00532F7B">
        <w:rPr>
          <w:rFonts w:ascii="Verdana" w:hAnsi="Verdana"/>
          <w:b/>
          <w:sz w:val="20"/>
          <w:szCs w:val="20"/>
        </w:rPr>
        <w:t>Charging technology</w:t>
      </w:r>
    </w:p>
    <w:p w:rsidR="009A3B6D" w:rsidRPr="00532F7B" w:rsidRDefault="009A3B6D" w:rsidP="009A3B6D">
      <w:pPr>
        <w:rPr>
          <w:rFonts w:ascii="Verdana" w:hAnsi="Verdana"/>
          <w:sz w:val="20"/>
          <w:szCs w:val="20"/>
        </w:rPr>
      </w:pPr>
      <w:r w:rsidRPr="00532F7B">
        <w:rPr>
          <w:rFonts w:ascii="Verdana" w:hAnsi="Verdana"/>
          <w:sz w:val="20"/>
          <w:szCs w:val="20"/>
        </w:rPr>
        <w:t>Currently there are three core types of vehicle charging based on the speed that they operate</w:t>
      </w:r>
      <w:r w:rsidRPr="00532F7B">
        <w:rPr>
          <w:rStyle w:val="FootnoteReference"/>
          <w:rFonts w:ascii="Verdana" w:hAnsi="Verdana"/>
          <w:sz w:val="20"/>
          <w:szCs w:val="20"/>
        </w:rPr>
        <w:footnoteReference w:id="5"/>
      </w:r>
      <w:r w:rsidRPr="00532F7B">
        <w:rPr>
          <w:rFonts w:ascii="Verdana" w:hAnsi="Verdana"/>
          <w:sz w:val="20"/>
          <w:szCs w:val="20"/>
        </w:rPr>
        <w:t>:</w:t>
      </w:r>
    </w:p>
    <w:p w:rsidR="009A3B6D" w:rsidRPr="00532F7B" w:rsidRDefault="009A3B6D" w:rsidP="009A3B6D">
      <w:pPr>
        <w:rPr>
          <w:rFonts w:ascii="Verdana" w:hAnsi="Verdana"/>
          <w:sz w:val="20"/>
          <w:szCs w:val="20"/>
        </w:rPr>
      </w:pPr>
    </w:p>
    <w:p w:rsidR="009A3B6D" w:rsidRPr="00532F7B" w:rsidRDefault="009A3B6D" w:rsidP="009A3B6D">
      <w:pPr>
        <w:pStyle w:val="ListParagraph"/>
        <w:numPr>
          <w:ilvl w:val="0"/>
          <w:numId w:val="3"/>
        </w:numPr>
        <w:rPr>
          <w:rFonts w:ascii="Verdana" w:hAnsi="Verdana"/>
          <w:sz w:val="20"/>
          <w:szCs w:val="20"/>
        </w:rPr>
      </w:pPr>
      <w:r w:rsidRPr="00532F7B">
        <w:rPr>
          <w:rFonts w:ascii="Verdana" w:hAnsi="Verdana"/>
          <w:sz w:val="20"/>
          <w:szCs w:val="20"/>
        </w:rPr>
        <w:t>Rapid chargers are divided in two sections – AC and DC. Currently available Rapid AC chargers are rated at 43kW, while Rapid DC are typically 50kW. Both will charge an EV to 80% in around 30 minutes. Tesla Superchargers are also Rapid DC and currently charge at around 120kW.</w:t>
      </w:r>
    </w:p>
    <w:p w:rsidR="009A3B6D" w:rsidRPr="00532F7B" w:rsidRDefault="009A3B6D" w:rsidP="009A3B6D">
      <w:pPr>
        <w:rPr>
          <w:rFonts w:ascii="Verdana" w:hAnsi="Verdana"/>
          <w:sz w:val="20"/>
          <w:szCs w:val="20"/>
        </w:rPr>
      </w:pPr>
    </w:p>
    <w:p w:rsidR="009A3B6D" w:rsidRPr="00532F7B" w:rsidRDefault="009A3B6D" w:rsidP="009A3B6D">
      <w:pPr>
        <w:pStyle w:val="ListParagraph"/>
        <w:numPr>
          <w:ilvl w:val="0"/>
          <w:numId w:val="3"/>
        </w:numPr>
        <w:rPr>
          <w:rFonts w:ascii="Verdana" w:hAnsi="Verdana"/>
          <w:sz w:val="20"/>
          <w:szCs w:val="20"/>
        </w:rPr>
      </w:pPr>
      <w:r w:rsidRPr="00532F7B">
        <w:rPr>
          <w:rFonts w:ascii="Verdana" w:hAnsi="Verdana"/>
          <w:sz w:val="20"/>
          <w:szCs w:val="20"/>
        </w:rPr>
        <w:t>Fast chargers cover those with 7kW and 22kW power outputs, which typically charge an EV in 3-4 hours.</w:t>
      </w:r>
    </w:p>
    <w:p w:rsidR="009A3B6D" w:rsidRPr="00532F7B" w:rsidRDefault="009A3B6D" w:rsidP="009A3B6D">
      <w:pPr>
        <w:rPr>
          <w:rFonts w:ascii="Verdana" w:hAnsi="Verdana"/>
          <w:sz w:val="20"/>
          <w:szCs w:val="20"/>
        </w:rPr>
      </w:pPr>
    </w:p>
    <w:p w:rsidR="009A3B6D" w:rsidRPr="00532F7B" w:rsidRDefault="009A3B6D" w:rsidP="009A3B6D">
      <w:pPr>
        <w:pStyle w:val="ListParagraph"/>
        <w:numPr>
          <w:ilvl w:val="0"/>
          <w:numId w:val="3"/>
        </w:numPr>
        <w:rPr>
          <w:rFonts w:ascii="Verdana" w:hAnsi="Verdana"/>
          <w:sz w:val="20"/>
          <w:szCs w:val="20"/>
        </w:rPr>
      </w:pPr>
      <w:r w:rsidRPr="00532F7B">
        <w:rPr>
          <w:rFonts w:ascii="Verdana" w:hAnsi="Verdana"/>
          <w:sz w:val="20"/>
          <w:szCs w:val="20"/>
        </w:rPr>
        <w:t>Slow units (up to 3kW) are best for overnight charging and usually take between 6 and 12 hours for a pure-EV, or 2-4 hours for a Plug-in Hybrid EV.</w:t>
      </w:r>
    </w:p>
    <w:p w:rsidR="00FC733F" w:rsidRPr="00532F7B" w:rsidRDefault="00FC733F" w:rsidP="0093001A">
      <w:pPr>
        <w:rPr>
          <w:rFonts w:ascii="Verdana" w:hAnsi="Verdana"/>
          <w:sz w:val="20"/>
          <w:szCs w:val="20"/>
        </w:rPr>
      </w:pPr>
    </w:p>
    <w:p w:rsidR="0057747E" w:rsidRPr="00532F7B" w:rsidRDefault="0057747E" w:rsidP="0093001A">
      <w:pPr>
        <w:rPr>
          <w:rFonts w:ascii="Verdana" w:hAnsi="Verdana"/>
          <w:b/>
          <w:sz w:val="20"/>
          <w:szCs w:val="20"/>
        </w:rPr>
      </w:pPr>
      <w:r w:rsidRPr="00532F7B">
        <w:rPr>
          <w:rFonts w:ascii="Verdana" w:hAnsi="Verdana"/>
          <w:b/>
          <w:sz w:val="20"/>
          <w:szCs w:val="20"/>
        </w:rPr>
        <w:t>Current EV network in our area</w:t>
      </w:r>
    </w:p>
    <w:p w:rsidR="00A13DA3" w:rsidRPr="00532F7B" w:rsidRDefault="0057747E" w:rsidP="0093001A">
      <w:pPr>
        <w:rPr>
          <w:rFonts w:ascii="Verdana" w:hAnsi="Verdana"/>
          <w:sz w:val="20"/>
          <w:szCs w:val="20"/>
        </w:rPr>
      </w:pPr>
      <w:r w:rsidRPr="00532F7B">
        <w:rPr>
          <w:rFonts w:ascii="Verdana" w:hAnsi="Verdana"/>
          <w:sz w:val="20"/>
          <w:szCs w:val="20"/>
        </w:rPr>
        <w:t>T</w:t>
      </w:r>
      <w:r w:rsidR="00FC733F" w:rsidRPr="00532F7B">
        <w:rPr>
          <w:rFonts w:ascii="Verdana" w:hAnsi="Verdana"/>
          <w:sz w:val="20"/>
          <w:szCs w:val="20"/>
        </w:rPr>
        <w:t xml:space="preserve">he North Suffolk/South Norfolk </w:t>
      </w:r>
      <w:r w:rsidR="00A13DA3" w:rsidRPr="00532F7B">
        <w:rPr>
          <w:rFonts w:ascii="Verdana" w:hAnsi="Verdana"/>
          <w:sz w:val="20"/>
          <w:szCs w:val="20"/>
        </w:rPr>
        <w:t xml:space="preserve">area is poorly </w:t>
      </w:r>
      <w:r w:rsidR="00FC733F" w:rsidRPr="00532F7B">
        <w:rPr>
          <w:rFonts w:ascii="Verdana" w:hAnsi="Verdana"/>
          <w:sz w:val="20"/>
          <w:szCs w:val="20"/>
        </w:rPr>
        <w:t>serve</w:t>
      </w:r>
      <w:r w:rsidR="00A13DA3" w:rsidRPr="00532F7B">
        <w:rPr>
          <w:rFonts w:ascii="Verdana" w:hAnsi="Verdana"/>
          <w:sz w:val="20"/>
          <w:szCs w:val="20"/>
        </w:rPr>
        <w:t>d for EV charging connections:</w:t>
      </w:r>
    </w:p>
    <w:p w:rsidR="0057747E" w:rsidRPr="00532F7B" w:rsidRDefault="0057747E" w:rsidP="0093001A">
      <w:pPr>
        <w:rPr>
          <w:rFonts w:ascii="Verdana" w:hAnsi="Verdana"/>
          <w:sz w:val="20"/>
          <w:szCs w:val="20"/>
        </w:rPr>
      </w:pPr>
    </w:p>
    <w:p w:rsidR="00A13DA3" w:rsidRPr="00532F7B" w:rsidRDefault="00FC733F" w:rsidP="00A13DA3">
      <w:pPr>
        <w:pStyle w:val="ListParagraph"/>
        <w:numPr>
          <w:ilvl w:val="0"/>
          <w:numId w:val="4"/>
        </w:numPr>
        <w:rPr>
          <w:rFonts w:ascii="Verdana" w:hAnsi="Verdana"/>
          <w:sz w:val="20"/>
          <w:szCs w:val="20"/>
        </w:rPr>
      </w:pPr>
      <w:r w:rsidRPr="00532F7B">
        <w:rPr>
          <w:rFonts w:ascii="Verdana" w:hAnsi="Verdana"/>
          <w:sz w:val="20"/>
          <w:szCs w:val="20"/>
        </w:rPr>
        <w:t xml:space="preserve">There are no charging points accessible to the public in </w:t>
      </w:r>
      <w:r w:rsidR="00A13DA3" w:rsidRPr="00532F7B">
        <w:rPr>
          <w:rFonts w:ascii="Verdana" w:hAnsi="Verdana"/>
          <w:sz w:val="20"/>
          <w:szCs w:val="20"/>
        </w:rPr>
        <w:t>Eye</w:t>
      </w:r>
    </w:p>
    <w:p w:rsidR="00A13DA3" w:rsidRPr="00532F7B" w:rsidRDefault="00A13DA3" w:rsidP="00A13DA3">
      <w:pPr>
        <w:pStyle w:val="ListParagraph"/>
        <w:numPr>
          <w:ilvl w:val="0"/>
          <w:numId w:val="4"/>
        </w:numPr>
        <w:rPr>
          <w:rFonts w:ascii="Verdana" w:hAnsi="Verdana"/>
          <w:sz w:val="20"/>
          <w:szCs w:val="20"/>
        </w:rPr>
      </w:pPr>
      <w:r w:rsidRPr="00532F7B">
        <w:rPr>
          <w:rFonts w:ascii="Verdana" w:hAnsi="Verdana"/>
          <w:sz w:val="20"/>
          <w:szCs w:val="20"/>
        </w:rPr>
        <w:t>The nearest (50kW) rapid charging points are in Bury St Edmunds, Ipswich and Norwich.</w:t>
      </w:r>
    </w:p>
    <w:p w:rsidR="00A13DA3" w:rsidRPr="00532F7B" w:rsidRDefault="00FC733F" w:rsidP="00A13DA3">
      <w:pPr>
        <w:pStyle w:val="ListParagraph"/>
        <w:numPr>
          <w:ilvl w:val="0"/>
          <w:numId w:val="4"/>
        </w:numPr>
        <w:rPr>
          <w:rFonts w:ascii="Verdana" w:hAnsi="Verdana"/>
          <w:sz w:val="20"/>
          <w:szCs w:val="20"/>
        </w:rPr>
      </w:pPr>
      <w:r w:rsidRPr="00532F7B">
        <w:rPr>
          <w:rFonts w:ascii="Verdana" w:hAnsi="Verdana"/>
          <w:sz w:val="20"/>
          <w:szCs w:val="20"/>
        </w:rPr>
        <w:t>There is one 3kW</w:t>
      </w:r>
      <w:r w:rsidR="00A13DA3" w:rsidRPr="00532F7B">
        <w:rPr>
          <w:rFonts w:ascii="Verdana" w:hAnsi="Verdana"/>
          <w:sz w:val="20"/>
          <w:szCs w:val="20"/>
        </w:rPr>
        <w:t xml:space="preserve"> </w:t>
      </w:r>
      <w:r w:rsidRPr="00532F7B">
        <w:rPr>
          <w:rFonts w:ascii="Verdana" w:hAnsi="Verdana"/>
          <w:sz w:val="20"/>
          <w:szCs w:val="20"/>
        </w:rPr>
        <w:t>(Slow) charging point within 5 miles of Eye, loca</w:t>
      </w:r>
      <w:r w:rsidR="00A13DA3" w:rsidRPr="00532F7B">
        <w:rPr>
          <w:rFonts w:ascii="Verdana" w:hAnsi="Verdana"/>
          <w:sz w:val="20"/>
          <w:szCs w:val="20"/>
        </w:rPr>
        <w:t>ted at the Brome Grange Hotel.</w:t>
      </w:r>
    </w:p>
    <w:p w:rsidR="00A13DA3" w:rsidRPr="00532F7B" w:rsidRDefault="00FC733F" w:rsidP="00A13DA3">
      <w:pPr>
        <w:pStyle w:val="ListParagraph"/>
        <w:numPr>
          <w:ilvl w:val="0"/>
          <w:numId w:val="4"/>
        </w:numPr>
        <w:rPr>
          <w:rFonts w:ascii="Verdana" w:hAnsi="Verdana"/>
          <w:sz w:val="20"/>
          <w:szCs w:val="20"/>
        </w:rPr>
      </w:pPr>
      <w:r w:rsidRPr="00532F7B">
        <w:rPr>
          <w:rFonts w:ascii="Verdana" w:hAnsi="Verdana"/>
          <w:sz w:val="20"/>
          <w:szCs w:val="20"/>
        </w:rPr>
        <w:t>The nearest charging point south of Eye a</w:t>
      </w:r>
      <w:r w:rsidR="00A13DA3" w:rsidRPr="00532F7B">
        <w:rPr>
          <w:rFonts w:ascii="Verdana" w:hAnsi="Verdana"/>
          <w:sz w:val="20"/>
          <w:szCs w:val="20"/>
        </w:rPr>
        <w:t>long the A140 is at Coddenham, 15 miles away from Eye.</w:t>
      </w:r>
    </w:p>
    <w:p w:rsidR="00FC733F" w:rsidRPr="00532F7B" w:rsidRDefault="00FC733F" w:rsidP="00A13DA3">
      <w:pPr>
        <w:pStyle w:val="ListParagraph"/>
        <w:numPr>
          <w:ilvl w:val="0"/>
          <w:numId w:val="4"/>
        </w:numPr>
        <w:rPr>
          <w:rFonts w:ascii="Verdana" w:hAnsi="Verdana"/>
          <w:sz w:val="20"/>
          <w:szCs w:val="20"/>
        </w:rPr>
      </w:pPr>
      <w:r w:rsidRPr="00532F7B">
        <w:rPr>
          <w:rFonts w:ascii="Verdana" w:hAnsi="Verdana"/>
          <w:sz w:val="20"/>
          <w:szCs w:val="20"/>
        </w:rPr>
        <w:lastRenderedPageBreak/>
        <w:t xml:space="preserve">The nearest charging point north </w:t>
      </w:r>
      <w:r w:rsidR="00A13DA3" w:rsidRPr="00532F7B">
        <w:rPr>
          <w:rFonts w:ascii="Verdana" w:hAnsi="Verdana"/>
          <w:sz w:val="20"/>
          <w:szCs w:val="20"/>
        </w:rPr>
        <w:t>o</w:t>
      </w:r>
      <w:r w:rsidRPr="00532F7B">
        <w:rPr>
          <w:rFonts w:ascii="Verdana" w:hAnsi="Verdana"/>
          <w:sz w:val="20"/>
          <w:szCs w:val="20"/>
        </w:rPr>
        <w:t>f Eye on the A140 is at Long Stratton</w:t>
      </w:r>
      <w:r w:rsidR="00A13DA3" w:rsidRPr="00532F7B">
        <w:rPr>
          <w:rFonts w:ascii="Verdana" w:hAnsi="Verdana"/>
          <w:sz w:val="20"/>
          <w:szCs w:val="20"/>
        </w:rPr>
        <w:t xml:space="preserve"> 14 miles away from Eye.</w:t>
      </w:r>
    </w:p>
    <w:p w:rsidR="00FC733F" w:rsidRDefault="00FC733F" w:rsidP="0093001A">
      <w:pPr>
        <w:rPr>
          <w:rFonts w:ascii="Verdana" w:hAnsi="Verdana"/>
          <w:sz w:val="22"/>
          <w:szCs w:val="22"/>
        </w:rPr>
      </w:pPr>
    </w:p>
    <w:p w:rsidR="00FC733F" w:rsidRDefault="00FC733F" w:rsidP="00FC733F">
      <w:pPr>
        <w:jc w:val="center"/>
        <w:rPr>
          <w:rFonts w:ascii="Verdana" w:hAnsi="Verdana"/>
          <w:sz w:val="22"/>
          <w:szCs w:val="22"/>
        </w:rPr>
      </w:pPr>
      <w:r>
        <w:rPr>
          <w:noProof/>
        </w:rPr>
        <w:drawing>
          <wp:inline distT="0" distB="0" distL="0" distR="0" wp14:anchorId="6AF2C05C" wp14:editId="48B3E456">
            <wp:extent cx="4685335" cy="26339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3006" cy="2643909"/>
                    </a:xfrm>
                    <a:prstGeom prst="rect">
                      <a:avLst/>
                    </a:prstGeom>
                  </pic:spPr>
                </pic:pic>
              </a:graphicData>
            </a:graphic>
          </wp:inline>
        </w:drawing>
      </w:r>
    </w:p>
    <w:p w:rsidR="00FC733F" w:rsidRPr="00FC733F" w:rsidRDefault="00FC733F" w:rsidP="00FC733F">
      <w:pPr>
        <w:jc w:val="center"/>
        <w:rPr>
          <w:rFonts w:ascii="Verdana" w:hAnsi="Verdana"/>
          <w:sz w:val="16"/>
          <w:szCs w:val="16"/>
        </w:rPr>
      </w:pPr>
      <w:r w:rsidRPr="00FC733F">
        <w:rPr>
          <w:rFonts w:ascii="Verdana" w:hAnsi="Verdana"/>
          <w:sz w:val="16"/>
          <w:szCs w:val="16"/>
        </w:rPr>
        <w:t>Figure 1: EV charging locations – Norfolk/Suffolk area</w:t>
      </w:r>
    </w:p>
    <w:p w:rsidR="00971209" w:rsidRPr="00532F7B" w:rsidRDefault="00971209" w:rsidP="0093001A">
      <w:pPr>
        <w:rPr>
          <w:rFonts w:ascii="Verdana" w:hAnsi="Verdana"/>
          <w:b/>
          <w:sz w:val="20"/>
          <w:szCs w:val="20"/>
        </w:rPr>
      </w:pPr>
      <w:r w:rsidRPr="00532F7B">
        <w:rPr>
          <w:rFonts w:ascii="Verdana" w:hAnsi="Verdana"/>
          <w:b/>
          <w:sz w:val="20"/>
          <w:szCs w:val="20"/>
        </w:rPr>
        <w:t>Strategy for Eye</w:t>
      </w:r>
    </w:p>
    <w:p w:rsidR="00A13DA3" w:rsidRPr="00532F7B" w:rsidRDefault="00A13DA3" w:rsidP="0093001A">
      <w:pPr>
        <w:rPr>
          <w:rFonts w:ascii="Verdana" w:hAnsi="Verdana"/>
          <w:sz w:val="20"/>
          <w:szCs w:val="20"/>
        </w:rPr>
      </w:pPr>
      <w:r w:rsidRPr="00532F7B">
        <w:rPr>
          <w:rFonts w:ascii="Verdana" w:hAnsi="Verdana"/>
          <w:sz w:val="20"/>
          <w:szCs w:val="20"/>
        </w:rPr>
        <w:t>Eye should take a positive strategic position in the EV charging network</w:t>
      </w:r>
      <w:r w:rsidR="0057747E" w:rsidRPr="00532F7B">
        <w:rPr>
          <w:rFonts w:ascii="Verdana" w:hAnsi="Verdana"/>
          <w:sz w:val="20"/>
          <w:szCs w:val="20"/>
        </w:rPr>
        <w:t xml:space="preserve"> to </w:t>
      </w:r>
      <w:r w:rsidR="00532F7B">
        <w:rPr>
          <w:rFonts w:ascii="Verdana" w:hAnsi="Verdana"/>
          <w:sz w:val="20"/>
          <w:szCs w:val="20"/>
        </w:rPr>
        <w:t>accommodate</w:t>
      </w:r>
      <w:r w:rsidR="0057747E" w:rsidRPr="00532F7B">
        <w:rPr>
          <w:rFonts w:ascii="Verdana" w:hAnsi="Verdana"/>
          <w:sz w:val="20"/>
          <w:szCs w:val="20"/>
        </w:rPr>
        <w:t xml:space="preserve"> three future </w:t>
      </w:r>
      <w:r w:rsidR="00532F7B">
        <w:rPr>
          <w:rFonts w:ascii="Verdana" w:hAnsi="Verdana"/>
          <w:sz w:val="20"/>
          <w:szCs w:val="20"/>
        </w:rPr>
        <w:t xml:space="preserve">demand </w:t>
      </w:r>
      <w:r w:rsidR="0057747E" w:rsidRPr="00532F7B">
        <w:rPr>
          <w:rFonts w:ascii="Verdana" w:hAnsi="Verdana"/>
          <w:sz w:val="20"/>
          <w:szCs w:val="20"/>
        </w:rPr>
        <w:t>scenarios</w:t>
      </w:r>
      <w:r w:rsidRPr="00532F7B">
        <w:rPr>
          <w:rFonts w:ascii="Verdana" w:hAnsi="Verdana"/>
          <w:sz w:val="20"/>
          <w:szCs w:val="20"/>
        </w:rPr>
        <w:t>:</w:t>
      </w:r>
    </w:p>
    <w:p w:rsidR="00A13DA3" w:rsidRPr="00532F7B" w:rsidRDefault="00A13DA3" w:rsidP="0093001A">
      <w:pPr>
        <w:rPr>
          <w:rFonts w:ascii="Verdana" w:hAnsi="Verdana"/>
          <w:sz w:val="20"/>
          <w:szCs w:val="20"/>
        </w:rPr>
      </w:pPr>
    </w:p>
    <w:p w:rsidR="00D66BB2" w:rsidRDefault="009660CC" w:rsidP="00A13DA3">
      <w:pPr>
        <w:pStyle w:val="ListParagraph"/>
        <w:numPr>
          <w:ilvl w:val="0"/>
          <w:numId w:val="5"/>
        </w:numPr>
        <w:rPr>
          <w:rFonts w:ascii="Verdana" w:hAnsi="Verdana"/>
          <w:sz w:val="20"/>
          <w:szCs w:val="20"/>
        </w:rPr>
      </w:pPr>
      <w:r w:rsidRPr="00532F7B">
        <w:rPr>
          <w:rFonts w:ascii="Verdana" w:hAnsi="Verdana"/>
          <w:b/>
          <w:sz w:val="20"/>
          <w:szCs w:val="20"/>
        </w:rPr>
        <w:t>Passing tourist and through-commute traffic</w:t>
      </w:r>
      <w:r w:rsidRPr="00532F7B">
        <w:rPr>
          <w:rFonts w:ascii="Verdana" w:hAnsi="Verdana"/>
          <w:sz w:val="20"/>
          <w:szCs w:val="20"/>
        </w:rPr>
        <w:t xml:space="preserve"> – Eye’s</w:t>
      </w:r>
      <w:r w:rsidR="00A13DA3" w:rsidRPr="00532F7B">
        <w:rPr>
          <w:rFonts w:ascii="Verdana" w:hAnsi="Verdana"/>
          <w:sz w:val="20"/>
          <w:szCs w:val="20"/>
        </w:rPr>
        <w:t xml:space="preserve"> location on the main route form the </w:t>
      </w:r>
      <w:r w:rsidR="00532F7B" w:rsidRPr="00532F7B">
        <w:rPr>
          <w:rFonts w:ascii="Verdana" w:hAnsi="Verdana"/>
          <w:sz w:val="20"/>
          <w:szCs w:val="20"/>
        </w:rPr>
        <w:t>South</w:t>
      </w:r>
      <w:r w:rsidR="00A13DA3" w:rsidRPr="00532F7B">
        <w:rPr>
          <w:rFonts w:ascii="Verdana" w:hAnsi="Verdana"/>
          <w:sz w:val="20"/>
          <w:szCs w:val="20"/>
        </w:rPr>
        <w:t xml:space="preserve">-east to Norwich, the Norfolk Broads and the East Anglian coast means that it has the potential to act as a transit charging destination for tourists and those travelling for work by electric vehicle from the Bury St Edmunds and Ipswich conurbations and </w:t>
      </w:r>
      <w:r w:rsidR="00532F7B" w:rsidRPr="00532F7B">
        <w:rPr>
          <w:rFonts w:ascii="Verdana" w:hAnsi="Verdana"/>
          <w:sz w:val="20"/>
          <w:szCs w:val="20"/>
        </w:rPr>
        <w:t>travellers</w:t>
      </w:r>
      <w:r w:rsidR="00A13DA3" w:rsidRPr="00532F7B">
        <w:rPr>
          <w:rFonts w:ascii="Verdana" w:hAnsi="Verdana"/>
          <w:sz w:val="20"/>
          <w:szCs w:val="20"/>
        </w:rPr>
        <w:t xml:space="preserve"> coming via the A12/A14 onto the A140 towards Norwich.</w:t>
      </w:r>
    </w:p>
    <w:p w:rsidR="001B6FE7" w:rsidRDefault="001B6FE7" w:rsidP="001B6FE7">
      <w:pPr>
        <w:rPr>
          <w:rFonts w:ascii="Verdana" w:hAnsi="Verdana"/>
          <w:sz w:val="20"/>
          <w:szCs w:val="20"/>
        </w:rPr>
      </w:pPr>
    </w:p>
    <w:p w:rsidR="001B6FE7" w:rsidRPr="001B6FE7" w:rsidRDefault="001B6FE7" w:rsidP="001B6FE7">
      <w:pPr>
        <w:ind w:left="360"/>
        <w:rPr>
          <w:rFonts w:ascii="Verdana" w:hAnsi="Verdana"/>
          <w:sz w:val="20"/>
          <w:szCs w:val="20"/>
        </w:rPr>
      </w:pPr>
      <w:r>
        <w:rPr>
          <w:rFonts w:ascii="Verdana" w:hAnsi="Verdana"/>
          <w:sz w:val="20"/>
          <w:szCs w:val="20"/>
        </w:rPr>
        <w:t>A key additional benefit to developing rapid charging infrastructure is that Eye could be marketed to out-of-area travellers, allowing them to charge their vehicle whilst relaxing or exploring the town.</w:t>
      </w:r>
    </w:p>
    <w:p w:rsidR="009660CC" w:rsidRPr="00532F7B" w:rsidRDefault="001B6FE7" w:rsidP="00A13DA3">
      <w:pPr>
        <w:pStyle w:val="ListParagraph"/>
        <w:numPr>
          <w:ilvl w:val="0"/>
          <w:numId w:val="5"/>
        </w:numPr>
        <w:rPr>
          <w:rFonts w:ascii="Verdana" w:hAnsi="Verdana"/>
          <w:sz w:val="20"/>
          <w:szCs w:val="20"/>
        </w:rPr>
      </w:pPr>
      <w:r>
        <w:rPr>
          <w:rFonts w:ascii="Verdana" w:hAnsi="Verdana"/>
          <w:b/>
          <w:sz w:val="20"/>
          <w:szCs w:val="20"/>
        </w:rPr>
        <w:t>Local r</w:t>
      </w:r>
      <w:r w:rsidR="009660CC" w:rsidRPr="00532F7B">
        <w:rPr>
          <w:rFonts w:ascii="Verdana" w:hAnsi="Verdana"/>
          <w:b/>
          <w:sz w:val="20"/>
          <w:szCs w:val="20"/>
        </w:rPr>
        <w:t>esidential traffic</w:t>
      </w:r>
      <w:r w:rsidR="009660CC" w:rsidRPr="00532F7B">
        <w:rPr>
          <w:rFonts w:ascii="Verdana" w:hAnsi="Verdana"/>
          <w:sz w:val="20"/>
          <w:szCs w:val="20"/>
        </w:rPr>
        <w:t xml:space="preserve"> – </w:t>
      </w:r>
      <w:r w:rsidR="00532F7B" w:rsidRPr="00532F7B">
        <w:rPr>
          <w:rFonts w:ascii="Verdana" w:hAnsi="Verdana"/>
          <w:sz w:val="20"/>
          <w:szCs w:val="20"/>
        </w:rPr>
        <w:t>there</w:t>
      </w:r>
      <w:r w:rsidR="009660CC" w:rsidRPr="00532F7B">
        <w:rPr>
          <w:rFonts w:ascii="Verdana" w:hAnsi="Verdana"/>
          <w:sz w:val="20"/>
          <w:szCs w:val="20"/>
        </w:rPr>
        <w:t xml:space="preserve"> is no current data available to estimate the current or future uptake of EV by residents of Eye and the local area.  </w:t>
      </w:r>
      <w:r w:rsidR="00532F7B" w:rsidRPr="00532F7B">
        <w:rPr>
          <w:rFonts w:ascii="Verdana" w:hAnsi="Verdana"/>
          <w:sz w:val="20"/>
          <w:szCs w:val="20"/>
        </w:rPr>
        <w:t>However</w:t>
      </w:r>
      <w:r w:rsidR="009660CC" w:rsidRPr="00532F7B">
        <w:rPr>
          <w:rFonts w:ascii="Verdana" w:hAnsi="Verdana"/>
          <w:sz w:val="20"/>
          <w:szCs w:val="20"/>
        </w:rPr>
        <w:t>, without charging infrastructure, the uptake of EV will be stifled.</w:t>
      </w:r>
    </w:p>
    <w:p w:rsidR="009660CC" w:rsidRPr="00532F7B" w:rsidRDefault="009660CC" w:rsidP="00A13DA3">
      <w:pPr>
        <w:pStyle w:val="ListParagraph"/>
        <w:numPr>
          <w:ilvl w:val="0"/>
          <w:numId w:val="5"/>
        </w:numPr>
        <w:rPr>
          <w:rFonts w:ascii="Verdana" w:hAnsi="Verdana"/>
          <w:sz w:val="20"/>
          <w:szCs w:val="20"/>
        </w:rPr>
      </w:pPr>
      <w:r w:rsidRPr="00532F7B">
        <w:rPr>
          <w:rFonts w:ascii="Verdana" w:hAnsi="Verdana"/>
          <w:b/>
          <w:sz w:val="20"/>
          <w:szCs w:val="20"/>
        </w:rPr>
        <w:t>Local business traffic</w:t>
      </w:r>
      <w:r w:rsidRPr="00532F7B">
        <w:rPr>
          <w:rFonts w:ascii="Verdana" w:hAnsi="Verdana"/>
          <w:sz w:val="20"/>
          <w:szCs w:val="20"/>
        </w:rPr>
        <w:t xml:space="preserve"> – without any charging infrastructure in its key employment areas, businesses will not consider the cost benefit of using EV, whether in </w:t>
      </w:r>
      <w:r w:rsidR="001B6FE7">
        <w:rPr>
          <w:rFonts w:ascii="Verdana" w:hAnsi="Verdana"/>
          <w:sz w:val="20"/>
          <w:szCs w:val="20"/>
        </w:rPr>
        <w:t xml:space="preserve">their </w:t>
      </w:r>
      <w:r w:rsidRPr="00532F7B">
        <w:rPr>
          <w:rFonts w:ascii="Verdana" w:hAnsi="Verdana"/>
          <w:sz w:val="20"/>
          <w:szCs w:val="20"/>
        </w:rPr>
        <w:t xml:space="preserve">passenger or commercial </w:t>
      </w:r>
      <w:r w:rsidR="001B6FE7">
        <w:rPr>
          <w:rFonts w:ascii="Verdana" w:hAnsi="Verdana"/>
          <w:sz w:val="20"/>
          <w:szCs w:val="20"/>
        </w:rPr>
        <w:t>flee</w:t>
      </w:r>
      <w:r w:rsidRPr="00532F7B">
        <w:rPr>
          <w:rFonts w:ascii="Verdana" w:hAnsi="Verdana"/>
          <w:sz w:val="20"/>
          <w:szCs w:val="20"/>
        </w:rPr>
        <w:t>t</w:t>
      </w:r>
      <w:r w:rsidR="001B6FE7">
        <w:rPr>
          <w:rFonts w:ascii="Verdana" w:hAnsi="Verdana"/>
          <w:sz w:val="20"/>
          <w:szCs w:val="20"/>
        </w:rPr>
        <w:t>s</w:t>
      </w:r>
      <w:r w:rsidRPr="00532F7B">
        <w:rPr>
          <w:rFonts w:ascii="Verdana" w:hAnsi="Verdana"/>
          <w:sz w:val="20"/>
          <w:szCs w:val="20"/>
        </w:rPr>
        <w:t>.</w:t>
      </w:r>
    </w:p>
    <w:p w:rsidR="009660CC" w:rsidRDefault="009660CC" w:rsidP="0093001A">
      <w:pPr>
        <w:rPr>
          <w:rFonts w:ascii="Verdana" w:hAnsi="Verdana"/>
          <w:b/>
          <w:sz w:val="20"/>
          <w:szCs w:val="20"/>
        </w:rPr>
      </w:pPr>
    </w:p>
    <w:p w:rsidR="00892C2A" w:rsidRDefault="00892C2A" w:rsidP="0093001A">
      <w:pPr>
        <w:rPr>
          <w:rFonts w:ascii="Verdana" w:hAnsi="Verdana"/>
          <w:sz w:val="20"/>
          <w:szCs w:val="20"/>
        </w:rPr>
      </w:pPr>
      <w:r w:rsidRPr="00892C2A">
        <w:rPr>
          <w:rFonts w:ascii="Verdana" w:hAnsi="Verdana"/>
          <w:sz w:val="20"/>
          <w:szCs w:val="20"/>
        </w:rPr>
        <w:t xml:space="preserve">The overall </w:t>
      </w:r>
      <w:r>
        <w:rPr>
          <w:rFonts w:ascii="Verdana" w:hAnsi="Verdana"/>
          <w:sz w:val="20"/>
          <w:szCs w:val="20"/>
        </w:rPr>
        <w:t xml:space="preserve">long term </w:t>
      </w:r>
      <w:r w:rsidRPr="00892C2A">
        <w:rPr>
          <w:rFonts w:ascii="Verdana" w:hAnsi="Verdana"/>
          <w:sz w:val="20"/>
          <w:szCs w:val="20"/>
        </w:rPr>
        <w:t xml:space="preserve">approach should be provision for home and destination </w:t>
      </w:r>
      <w:r>
        <w:rPr>
          <w:rFonts w:ascii="Verdana" w:hAnsi="Verdana"/>
          <w:sz w:val="20"/>
          <w:szCs w:val="20"/>
        </w:rPr>
        <w:t xml:space="preserve">charging which will in turn require residential and commercial developers to specify higher electrical capacity.  In this period of transition while there is range anxiety, </w:t>
      </w:r>
      <w:r w:rsidR="00AF044F">
        <w:rPr>
          <w:rFonts w:ascii="Verdana" w:hAnsi="Verdana"/>
          <w:sz w:val="20"/>
          <w:szCs w:val="20"/>
        </w:rPr>
        <w:t>en-</w:t>
      </w:r>
      <w:r>
        <w:rPr>
          <w:rFonts w:ascii="Verdana" w:hAnsi="Verdana"/>
          <w:sz w:val="20"/>
          <w:szCs w:val="20"/>
        </w:rPr>
        <w:t>route charging should be provided.</w:t>
      </w:r>
    </w:p>
    <w:p w:rsidR="00892C2A" w:rsidRPr="00892C2A" w:rsidRDefault="00892C2A" w:rsidP="0093001A">
      <w:pPr>
        <w:rPr>
          <w:rFonts w:ascii="Verdana" w:hAnsi="Verdana"/>
          <w:sz w:val="20"/>
          <w:szCs w:val="20"/>
        </w:rPr>
      </w:pPr>
    </w:p>
    <w:p w:rsidR="00D66BB2" w:rsidRPr="00532F7B" w:rsidRDefault="00D66BB2" w:rsidP="0093001A">
      <w:pPr>
        <w:rPr>
          <w:rFonts w:ascii="Verdana" w:hAnsi="Verdana"/>
          <w:b/>
          <w:sz w:val="20"/>
          <w:szCs w:val="20"/>
        </w:rPr>
      </w:pPr>
      <w:r w:rsidRPr="00532F7B">
        <w:rPr>
          <w:rFonts w:ascii="Verdana" w:hAnsi="Verdana"/>
          <w:b/>
          <w:sz w:val="20"/>
          <w:szCs w:val="20"/>
        </w:rPr>
        <w:t>New development</w:t>
      </w:r>
      <w:r w:rsidR="001B6FE7">
        <w:rPr>
          <w:rFonts w:ascii="Verdana" w:hAnsi="Verdana"/>
          <w:b/>
          <w:sz w:val="20"/>
          <w:szCs w:val="20"/>
        </w:rPr>
        <w:t xml:space="preserve"> – policy proposals</w:t>
      </w:r>
    </w:p>
    <w:p w:rsidR="00D66BB2" w:rsidRPr="00532F7B" w:rsidRDefault="009660CC" w:rsidP="0093001A">
      <w:pPr>
        <w:rPr>
          <w:rFonts w:ascii="Verdana" w:hAnsi="Verdana"/>
          <w:sz w:val="20"/>
          <w:szCs w:val="20"/>
        </w:rPr>
      </w:pPr>
      <w:r w:rsidRPr="00532F7B">
        <w:rPr>
          <w:rFonts w:ascii="Verdana" w:hAnsi="Verdana"/>
          <w:sz w:val="20"/>
          <w:szCs w:val="20"/>
        </w:rPr>
        <w:t xml:space="preserve">All new </w:t>
      </w:r>
      <w:r w:rsidR="00532F7B" w:rsidRPr="00532F7B">
        <w:rPr>
          <w:rFonts w:ascii="Verdana" w:hAnsi="Verdana"/>
          <w:sz w:val="20"/>
          <w:szCs w:val="20"/>
        </w:rPr>
        <w:t>residential</w:t>
      </w:r>
      <w:r w:rsidRPr="00532F7B">
        <w:rPr>
          <w:rFonts w:ascii="Verdana" w:hAnsi="Verdana"/>
          <w:sz w:val="20"/>
          <w:szCs w:val="20"/>
        </w:rPr>
        <w:t xml:space="preserve"> developments should </w:t>
      </w:r>
      <w:r w:rsidR="00E5424E" w:rsidRPr="00532F7B">
        <w:rPr>
          <w:rFonts w:ascii="Verdana" w:hAnsi="Verdana"/>
          <w:sz w:val="20"/>
          <w:szCs w:val="20"/>
        </w:rPr>
        <w:t xml:space="preserve">have EV </w:t>
      </w:r>
      <w:r w:rsidRPr="00532F7B">
        <w:rPr>
          <w:rFonts w:ascii="Verdana" w:hAnsi="Verdana"/>
          <w:sz w:val="20"/>
          <w:szCs w:val="20"/>
        </w:rPr>
        <w:t xml:space="preserve">charging </w:t>
      </w:r>
      <w:r w:rsidR="00E5424E" w:rsidRPr="00532F7B">
        <w:rPr>
          <w:rFonts w:ascii="Verdana" w:hAnsi="Verdana"/>
          <w:sz w:val="20"/>
          <w:szCs w:val="20"/>
        </w:rPr>
        <w:t>provision.</w:t>
      </w:r>
    </w:p>
    <w:p w:rsidR="009660CC" w:rsidRPr="00532F7B" w:rsidRDefault="009660CC" w:rsidP="0093001A">
      <w:pPr>
        <w:rPr>
          <w:rFonts w:ascii="Verdana" w:hAnsi="Verdana"/>
          <w:sz w:val="20"/>
          <w:szCs w:val="20"/>
        </w:rPr>
      </w:pPr>
    </w:p>
    <w:p w:rsidR="009660CC" w:rsidRPr="00532F7B" w:rsidRDefault="00E5424E" w:rsidP="0093001A">
      <w:pPr>
        <w:rPr>
          <w:rFonts w:ascii="Verdana" w:hAnsi="Verdana"/>
          <w:sz w:val="20"/>
          <w:szCs w:val="20"/>
        </w:rPr>
      </w:pPr>
      <w:r w:rsidRPr="00532F7B">
        <w:rPr>
          <w:rFonts w:ascii="Verdana" w:hAnsi="Verdana"/>
          <w:sz w:val="20"/>
          <w:szCs w:val="20"/>
        </w:rPr>
        <w:t>All new commercia</w:t>
      </w:r>
      <w:r w:rsidR="009660CC" w:rsidRPr="00532F7B">
        <w:rPr>
          <w:rFonts w:ascii="Verdana" w:hAnsi="Verdana"/>
          <w:sz w:val="20"/>
          <w:szCs w:val="20"/>
        </w:rPr>
        <w:t>l development should have EV charging provision</w:t>
      </w:r>
      <w:r w:rsidRPr="00532F7B">
        <w:rPr>
          <w:rFonts w:ascii="Verdana" w:hAnsi="Verdana"/>
          <w:sz w:val="20"/>
          <w:szCs w:val="20"/>
        </w:rPr>
        <w:t xml:space="preserve"> with speed and number of </w:t>
      </w:r>
      <w:r w:rsidR="00532F7B" w:rsidRPr="00532F7B">
        <w:rPr>
          <w:rFonts w:ascii="Verdana" w:hAnsi="Verdana"/>
          <w:sz w:val="20"/>
          <w:szCs w:val="20"/>
        </w:rPr>
        <w:t>connections</w:t>
      </w:r>
      <w:r w:rsidRPr="00532F7B">
        <w:rPr>
          <w:rFonts w:ascii="Verdana" w:hAnsi="Verdana"/>
          <w:sz w:val="20"/>
          <w:szCs w:val="20"/>
        </w:rPr>
        <w:t xml:space="preserve"> dependent on the scale and type of development undertaken</w:t>
      </w:r>
      <w:r w:rsidR="009660CC" w:rsidRPr="00532F7B">
        <w:rPr>
          <w:rFonts w:ascii="Verdana" w:hAnsi="Verdana"/>
          <w:sz w:val="20"/>
          <w:szCs w:val="20"/>
        </w:rPr>
        <w:t xml:space="preserve">.  This provision should </w:t>
      </w:r>
      <w:r w:rsidR="0057747E" w:rsidRPr="00532F7B">
        <w:rPr>
          <w:rFonts w:ascii="Verdana" w:hAnsi="Verdana"/>
          <w:sz w:val="20"/>
          <w:szCs w:val="20"/>
        </w:rPr>
        <w:t>create</w:t>
      </w:r>
      <w:r w:rsidR="009660CC" w:rsidRPr="00532F7B">
        <w:rPr>
          <w:rFonts w:ascii="Verdana" w:hAnsi="Verdana"/>
          <w:sz w:val="20"/>
          <w:szCs w:val="20"/>
        </w:rPr>
        <w:t xml:space="preserve"> a mix of connection points </w:t>
      </w:r>
      <w:r w:rsidR="0057747E" w:rsidRPr="00532F7B">
        <w:rPr>
          <w:rFonts w:ascii="Verdana" w:hAnsi="Verdana"/>
          <w:sz w:val="20"/>
          <w:szCs w:val="20"/>
        </w:rPr>
        <w:t xml:space="preserve">particularly in employment areas, </w:t>
      </w:r>
      <w:r w:rsidR="009660CC" w:rsidRPr="00532F7B">
        <w:rPr>
          <w:rFonts w:ascii="Verdana" w:hAnsi="Verdana"/>
          <w:sz w:val="20"/>
          <w:szCs w:val="20"/>
        </w:rPr>
        <w:t xml:space="preserve">with rapid charging potentially made available to the public in specific circumstances e.g. at hotels, public facilities, commercial developments over a certain </w:t>
      </w:r>
      <w:r w:rsidR="009660CC" w:rsidRPr="00532F7B">
        <w:rPr>
          <w:rFonts w:ascii="Verdana" w:hAnsi="Verdana"/>
          <w:sz w:val="20"/>
          <w:szCs w:val="20"/>
        </w:rPr>
        <w:lastRenderedPageBreak/>
        <w:t>size.</w:t>
      </w:r>
      <w:r w:rsidR="00892C2A">
        <w:rPr>
          <w:rFonts w:ascii="Verdana" w:hAnsi="Verdana"/>
          <w:sz w:val="20"/>
          <w:szCs w:val="20"/>
        </w:rPr>
        <w:t xml:space="preserve">  As a minimum to accord with Suffolk County Council standards, 5</w:t>
      </w:r>
      <w:r w:rsidR="00892C2A" w:rsidRPr="00892C2A">
        <w:rPr>
          <w:rFonts w:ascii="Verdana" w:hAnsi="Verdana"/>
          <w:sz w:val="20"/>
          <w:szCs w:val="20"/>
        </w:rPr>
        <w:t>% of all non-residential parking places should include an Electric Vehicle recharging point</w:t>
      </w:r>
      <w:r w:rsidR="00892C2A">
        <w:rPr>
          <w:rFonts w:ascii="Verdana" w:hAnsi="Verdana"/>
          <w:sz w:val="20"/>
          <w:szCs w:val="20"/>
        </w:rPr>
        <w:t>.</w:t>
      </w:r>
    </w:p>
    <w:p w:rsidR="009660CC" w:rsidRPr="00532F7B" w:rsidRDefault="009660CC" w:rsidP="0093001A">
      <w:pPr>
        <w:rPr>
          <w:rFonts w:ascii="Verdana" w:hAnsi="Verdana"/>
          <w:sz w:val="20"/>
          <w:szCs w:val="20"/>
        </w:rPr>
      </w:pPr>
    </w:p>
    <w:p w:rsidR="00D66BB2" w:rsidRPr="00532F7B" w:rsidRDefault="00D66BB2" w:rsidP="0093001A">
      <w:pPr>
        <w:rPr>
          <w:rFonts w:ascii="Verdana" w:hAnsi="Verdana"/>
          <w:b/>
          <w:sz w:val="20"/>
          <w:szCs w:val="20"/>
        </w:rPr>
      </w:pPr>
      <w:r w:rsidRPr="00532F7B">
        <w:rPr>
          <w:rFonts w:ascii="Verdana" w:hAnsi="Verdana"/>
          <w:b/>
          <w:sz w:val="20"/>
          <w:szCs w:val="20"/>
        </w:rPr>
        <w:t>Existing development</w:t>
      </w:r>
      <w:r w:rsidR="001B6FE7">
        <w:rPr>
          <w:rFonts w:ascii="Verdana" w:hAnsi="Verdana"/>
          <w:b/>
          <w:sz w:val="20"/>
          <w:szCs w:val="20"/>
        </w:rPr>
        <w:t xml:space="preserve"> – policy proposals</w:t>
      </w:r>
    </w:p>
    <w:p w:rsidR="003A65BE" w:rsidRPr="00532F7B" w:rsidRDefault="0057747E" w:rsidP="003A65BE">
      <w:pPr>
        <w:rPr>
          <w:rFonts w:ascii="Verdana" w:hAnsi="Verdana"/>
          <w:bCs/>
          <w:color w:val="000000"/>
          <w:sz w:val="20"/>
          <w:szCs w:val="20"/>
        </w:rPr>
      </w:pPr>
      <w:r w:rsidRPr="00532F7B">
        <w:rPr>
          <w:rFonts w:ascii="Verdana" w:hAnsi="Verdana"/>
          <w:bCs/>
          <w:color w:val="000000"/>
          <w:sz w:val="20"/>
          <w:szCs w:val="20"/>
        </w:rPr>
        <w:t>Charging of EV in existing parts of the town should comprise of</w:t>
      </w:r>
      <w:r w:rsidR="00514AA2" w:rsidRPr="00532F7B">
        <w:rPr>
          <w:rFonts w:ascii="Verdana" w:hAnsi="Verdana"/>
          <w:bCs/>
          <w:color w:val="000000"/>
          <w:sz w:val="20"/>
          <w:szCs w:val="20"/>
        </w:rPr>
        <w:t xml:space="preserve"> a blend of </w:t>
      </w:r>
      <w:r w:rsidRPr="00532F7B">
        <w:rPr>
          <w:rFonts w:ascii="Verdana" w:hAnsi="Verdana"/>
          <w:bCs/>
          <w:color w:val="000000"/>
          <w:sz w:val="20"/>
          <w:szCs w:val="20"/>
        </w:rPr>
        <w:t xml:space="preserve">provision with the </w:t>
      </w:r>
      <w:r w:rsidR="00532F7B" w:rsidRPr="00532F7B">
        <w:rPr>
          <w:rFonts w:ascii="Verdana" w:hAnsi="Verdana"/>
          <w:bCs/>
          <w:color w:val="000000"/>
          <w:sz w:val="20"/>
          <w:szCs w:val="20"/>
        </w:rPr>
        <w:t>following</w:t>
      </w:r>
      <w:r w:rsidRPr="00532F7B">
        <w:rPr>
          <w:rFonts w:ascii="Verdana" w:hAnsi="Verdana"/>
          <w:bCs/>
          <w:color w:val="000000"/>
          <w:sz w:val="20"/>
          <w:szCs w:val="20"/>
        </w:rPr>
        <w:t xml:space="preserve"> </w:t>
      </w:r>
      <w:r w:rsidR="00532F7B" w:rsidRPr="00532F7B">
        <w:rPr>
          <w:rFonts w:ascii="Verdana" w:hAnsi="Verdana"/>
          <w:bCs/>
          <w:color w:val="000000"/>
          <w:sz w:val="20"/>
          <w:szCs w:val="20"/>
        </w:rPr>
        <w:t>opportunities</w:t>
      </w:r>
      <w:r w:rsidRPr="00532F7B">
        <w:rPr>
          <w:rFonts w:ascii="Verdana" w:hAnsi="Verdana"/>
          <w:bCs/>
          <w:color w:val="000000"/>
          <w:sz w:val="20"/>
          <w:szCs w:val="20"/>
        </w:rPr>
        <w:t xml:space="preserve"> identified for installation over the short to long term such that the three future </w:t>
      </w:r>
      <w:r w:rsidR="001B6FE7">
        <w:rPr>
          <w:rFonts w:ascii="Verdana" w:hAnsi="Verdana"/>
          <w:bCs/>
          <w:color w:val="000000"/>
          <w:sz w:val="20"/>
          <w:szCs w:val="20"/>
        </w:rPr>
        <w:t xml:space="preserve">demand </w:t>
      </w:r>
      <w:r w:rsidRPr="00532F7B">
        <w:rPr>
          <w:rFonts w:ascii="Verdana" w:hAnsi="Verdana"/>
          <w:bCs/>
          <w:color w:val="000000"/>
          <w:sz w:val="20"/>
          <w:szCs w:val="20"/>
        </w:rPr>
        <w:t>scenarios are fully served</w:t>
      </w:r>
      <w:r w:rsidR="003A65BE" w:rsidRPr="00532F7B">
        <w:rPr>
          <w:rFonts w:ascii="Verdana" w:hAnsi="Verdana"/>
          <w:bCs/>
          <w:color w:val="000000"/>
          <w:sz w:val="20"/>
          <w:szCs w:val="20"/>
        </w:rPr>
        <w:t>:</w:t>
      </w:r>
    </w:p>
    <w:p w:rsidR="003A65BE" w:rsidRPr="00532F7B" w:rsidRDefault="003A65BE" w:rsidP="003A65BE">
      <w:pPr>
        <w:rPr>
          <w:rFonts w:ascii="Verdana" w:hAnsi="Verdana"/>
          <w:bCs/>
          <w:color w:val="000000"/>
          <w:sz w:val="20"/>
          <w:szCs w:val="20"/>
        </w:rPr>
      </w:pPr>
    </w:p>
    <w:p w:rsidR="003A65BE" w:rsidRDefault="003A65BE" w:rsidP="003A65BE">
      <w:pPr>
        <w:pStyle w:val="ListParagraph"/>
        <w:numPr>
          <w:ilvl w:val="0"/>
          <w:numId w:val="2"/>
        </w:numPr>
        <w:rPr>
          <w:rFonts w:ascii="Verdana" w:hAnsi="Verdana"/>
          <w:bCs/>
          <w:color w:val="000000"/>
          <w:sz w:val="20"/>
          <w:szCs w:val="20"/>
        </w:rPr>
      </w:pPr>
      <w:r w:rsidRPr="00532F7B">
        <w:rPr>
          <w:rFonts w:ascii="Verdana" w:hAnsi="Verdana"/>
          <w:b/>
          <w:bCs/>
          <w:color w:val="000000"/>
          <w:sz w:val="20"/>
          <w:szCs w:val="20"/>
        </w:rPr>
        <w:t>H</w:t>
      </w:r>
      <w:r w:rsidR="000E5D44" w:rsidRPr="00532F7B">
        <w:rPr>
          <w:rFonts w:ascii="Verdana" w:hAnsi="Verdana"/>
          <w:b/>
          <w:bCs/>
          <w:color w:val="000000"/>
          <w:sz w:val="20"/>
          <w:szCs w:val="20"/>
        </w:rPr>
        <w:t>ouseholds with off-street car parking</w:t>
      </w:r>
      <w:r w:rsidR="000E5D44" w:rsidRPr="00532F7B">
        <w:rPr>
          <w:rFonts w:ascii="Verdana" w:hAnsi="Verdana"/>
          <w:bCs/>
          <w:color w:val="000000"/>
          <w:sz w:val="20"/>
          <w:szCs w:val="20"/>
        </w:rPr>
        <w:t xml:space="preserve">– this </w:t>
      </w:r>
      <w:r w:rsidR="009660CC" w:rsidRPr="00532F7B">
        <w:rPr>
          <w:rFonts w:ascii="Verdana" w:hAnsi="Verdana"/>
          <w:bCs/>
          <w:color w:val="000000"/>
          <w:sz w:val="20"/>
          <w:szCs w:val="20"/>
        </w:rPr>
        <w:t xml:space="preserve">should be promoted to </w:t>
      </w:r>
      <w:r w:rsidRPr="00532F7B">
        <w:rPr>
          <w:rFonts w:ascii="Verdana" w:hAnsi="Verdana"/>
          <w:bCs/>
          <w:color w:val="000000"/>
          <w:sz w:val="20"/>
          <w:szCs w:val="20"/>
        </w:rPr>
        <w:t>existing residents</w:t>
      </w:r>
      <w:r w:rsidR="00514AA2" w:rsidRPr="00532F7B">
        <w:rPr>
          <w:rFonts w:ascii="Verdana" w:hAnsi="Verdana"/>
          <w:bCs/>
          <w:color w:val="000000"/>
          <w:sz w:val="20"/>
          <w:szCs w:val="20"/>
        </w:rPr>
        <w:t xml:space="preserve">.  </w:t>
      </w:r>
      <w:r w:rsidRPr="00532F7B">
        <w:rPr>
          <w:rFonts w:ascii="Verdana" w:hAnsi="Verdana"/>
          <w:bCs/>
          <w:color w:val="000000"/>
          <w:sz w:val="20"/>
          <w:szCs w:val="20"/>
        </w:rPr>
        <w:t xml:space="preserve">Residents with off-street private parking </w:t>
      </w:r>
      <w:r w:rsidR="00532F7B" w:rsidRPr="00532F7B">
        <w:rPr>
          <w:rFonts w:ascii="Verdana" w:hAnsi="Verdana"/>
          <w:bCs/>
          <w:color w:val="000000"/>
          <w:sz w:val="20"/>
          <w:szCs w:val="20"/>
        </w:rPr>
        <w:t>already</w:t>
      </w:r>
      <w:r w:rsidRPr="00532F7B">
        <w:rPr>
          <w:rFonts w:ascii="Verdana" w:hAnsi="Verdana"/>
          <w:bCs/>
          <w:color w:val="000000"/>
          <w:sz w:val="20"/>
          <w:szCs w:val="20"/>
        </w:rPr>
        <w:t xml:space="preserve"> have access to grant support</w:t>
      </w:r>
      <w:r w:rsidR="000E5D44" w:rsidRPr="00532F7B">
        <w:rPr>
          <w:rStyle w:val="FootnoteReference"/>
          <w:rFonts w:ascii="Verdana" w:hAnsi="Verdana"/>
          <w:bCs/>
          <w:color w:val="000000"/>
          <w:sz w:val="20"/>
          <w:szCs w:val="20"/>
        </w:rPr>
        <w:footnoteReference w:id="6"/>
      </w:r>
      <w:r w:rsidRPr="00532F7B">
        <w:rPr>
          <w:rFonts w:ascii="Verdana" w:hAnsi="Verdana"/>
          <w:bCs/>
          <w:color w:val="000000"/>
          <w:sz w:val="20"/>
          <w:szCs w:val="20"/>
        </w:rPr>
        <w:t xml:space="preserve"> which provides grant funding of up to 75% towards the cost of installing electric vehicle charge points at domestic properties across the UK.</w:t>
      </w:r>
    </w:p>
    <w:p w:rsidR="001B6FE7" w:rsidRPr="00532F7B" w:rsidRDefault="001B6FE7" w:rsidP="001B6FE7">
      <w:pPr>
        <w:pStyle w:val="ListParagraph"/>
        <w:ind w:left="360"/>
        <w:rPr>
          <w:rFonts w:ascii="Verdana" w:hAnsi="Verdana"/>
          <w:bCs/>
          <w:color w:val="000000"/>
          <w:sz w:val="20"/>
          <w:szCs w:val="20"/>
        </w:rPr>
      </w:pPr>
    </w:p>
    <w:p w:rsidR="001B6FE7" w:rsidRDefault="000E5D44" w:rsidP="003A65BE">
      <w:pPr>
        <w:pStyle w:val="ListParagraph"/>
        <w:numPr>
          <w:ilvl w:val="0"/>
          <w:numId w:val="2"/>
        </w:numPr>
        <w:rPr>
          <w:rFonts w:ascii="Verdana" w:hAnsi="Verdana"/>
          <w:bCs/>
          <w:color w:val="000000"/>
          <w:sz w:val="20"/>
          <w:szCs w:val="20"/>
        </w:rPr>
      </w:pPr>
      <w:r w:rsidRPr="00532F7B">
        <w:rPr>
          <w:rFonts w:ascii="Verdana" w:hAnsi="Verdana"/>
          <w:b/>
          <w:bCs/>
          <w:color w:val="000000"/>
          <w:sz w:val="20"/>
          <w:szCs w:val="20"/>
        </w:rPr>
        <w:t>Households without off-street car parking</w:t>
      </w:r>
      <w:r w:rsidRPr="00532F7B">
        <w:rPr>
          <w:rFonts w:ascii="Verdana" w:hAnsi="Verdana"/>
          <w:bCs/>
          <w:color w:val="000000"/>
          <w:sz w:val="20"/>
          <w:szCs w:val="20"/>
        </w:rPr>
        <w:t xml:space="preserve"> - </w:t>
      </w:r>
      <w:r w:rsidR="009660CC" w:rsidRPr="00532F7B">
        <w:rPr>
          <w:rFonts w:ascii="Verdana" w:hAnsi="Verdana"/>
          <w:bCs/>
          <w:color w:val="000000"/>
          <w:sz w:val="20"/>
          <w:szCs w:val="20"/>
        </w:rPr>
        <w:t xml:space="preserve">Provision </w:t>
      </w:r>
      <w:r w:rsidR="00532F7B" w:rsidRPr="00532F7B">
        <w:rPr>
          <w:rFonts w:ascii="Verdana" w:hAnsi="Verdana"/>
          <w:bCs/>
          <w:color w:val="000000"/>
          <w:sz w:val="20"/>
          <w:szCs w:val="20"/>
        </w:rPr>
        <w:t>should</w:t>
      </w:r>
      <w:r w:rsidR="009660CC" w:rsidRPr="00532F7B">
        <w:rPr>
          <w:rFonts w:ascii="Verdana" w:hAnsi="Verdana"/>
          <w:bCs/>
          <w:color w:val="000000"/>
          <w:sz w:val="20"/>
          <w:szCs w:val="20"/>
        </w:rPr>
        <w:t xml:space="preserve"> be made to give </w:t>
      </w:r>
      <w:r w:rsidR="00532F7B" w:rsidRPr="00532F7B">
        <w:rPr>
          <w:rFonts w:ascii="Verdana" w:hAnsi="Verdana"/>
          <w:bCs/>
          <w:color w:val="000000"/>
          <w:sz w:val="20"/>
          <w:szCs w:val="20"/>
        </w:rPr>
        <w:t>residents</w:t>
      </w:r>
      <w:r w:rsidR="001B6FE7">
        <w:rPr>
          <w:rFonts w:ascii="Verdana" w:hAnsi="Verdana"/>
          <w:bCs/>
          <w:color w:val="000000"/>
          <w:sz w:val="20"/>
          <w:szCs w:val="20"/>
        </w:rPr>
        <w:t xml:space="preserve"> with no off-</w:t>
      </w:r>
      <w:r w:rsidR="009660CC" w:rsidRPr="00532F7B">
        <w:rPr>
          <w:rFonts w:ascii="Verdana" w:hAnsi="Verdana"/>
          <w:bCs/>
          <w:color w:val="000000"/>
          <w:sz w:val="20"/>
          <w:szCs w:val="20"/>
        </w:rPr>
        <w:t>street private parking</w:t>
      </w:r>
      <w:r w:rsidRPr="00532F7B">
        <w:rPr>
          <w:rFonts w:ascii="Verdana" w:hAnsi="Verdana"/>
          <w:bCs/>
          <w:color w:val="000000"/>
          <w:sz w:val="20"/>
          <w:szCs w:val="20"/>
        </w:rPr>
        <w:t xml:space="preserve"> </w:t>
      </w:r>
      <w:r w:rsidR="001B6FE7">
        <w:rPr>
          <w:rFonts w:ascii="Verdana" w:hAnsi="Verdana"/>
          <w:bCs/>
          <w:color w:val="000000"/>
          <w:sz w:val="20"/>
          <w:szCs w:val="20"/>
        </w:rPr>
        <w:t>appropriate access to charging points.</w:t>
      </w:r>
    </w:p>
    <w:p w:rsidR="001B6FE7" w:rsidRPr="001B6FE7" w:rsidRDefault="001B6FE7" w:rsidP="001B6FE7">
      <w:pPr>
        <w:pStyle w:val="ListParagraph"/>
        <w:rPr>
          <w:rFonts w:ascii="Verdana" w:hAnsi="Verdana"/>
          <w:bCs/>
          <w:color w:val="000000"/>
          <w:sz w:val="20"/>
          <w:szCs w:val="20"/>
        </w:rPr>
      </w:pPr>
    </w:p>
    <w:p w:rsidR="003A65BE" w:rsidRPr="00532F7B" w:rsidRDefault="003A65BE" w:rsidP="001B6FE7">
      <w:pPr>
        <w:pStyle w:val="ListParagraph"/>
        <w:ind w:left="360"/>
        <w:rPr>
          <w:rFonts w:ascii="Verdana" w:hAnsi="Verdana"/>
          <w:bCs/>
          <w:color w:val="000000"/>
          <w:sz w:val="20"/>
          <w:szCs w:val="20"/>
        </w:rPr>
      </w:pPr>
      <w:r w:rsidRPr="00532F7B">
        <w:rPr>
          <w:rFonts w:ascii="Verdana" w:hAnsi="Verdana"/>
          <w:bCs/>
          <w:color w:val="000000"/>
          <w:sz w:val="20"/>
          <w:szCs w:val="20"/>
        </w:rPr>
        <w:t>H</w:t>
      </w:r>
      <w:r w:rsidR="00514AA2" w:rsidRPr="00532F7B">
        <w:rPr>
          <w:rFonts w:ascii="Verdana" w:hAnsi="Verdana"/>
          <w:bCs/>
          <w:color w:val="000000"/>
          <w:sz w:val="20"/>
          <w:szCs w:val="20"/>
        </w:rPr>
        <w:t>ome charging presents difficulties in areas where residents have no off street parkin</w:t>
      </w:r>
      <w:r w:rsidRPr="00532F7B">
        <w:rPr>
          <w:rFonts w:ascii="Verdana" w:hAnsi="Verdana"/>
          <w:bCs/>
          <w:color w:val="000000"/>
          <w:sz w:val="20"/>
          <w:szCs w:val="20"/>
        </w:rPr>
        <w:t>g (i.e. no private driveways).  Lamppost-mounted charge points have a number of advantages over standalone points:</w:t>
      </w:r>
    </w:p>
    <w:p w:rsidR="003A65BE" w:rsidRPr="00532F7B" w:rsidRDefault="003A65BE" w:rsidP="003A65BE">
      <w:pPr>
        <w:rPr>
          <w:rFonts w:ascii="Verdana" w:hAnsi="Verdana"/>
          <w:bCs/>
          <w:color w:val="000000"/>
          <w:sz w:val="20"/>
          <w:szCs w:val="20"/>
        </w:rPr>
      </w:pPr>
    </w:p>
    <w:p w:rsidR="003A65BE" w:rsidRPr="00532F7B" w:rsidRDefault="003A65BE" w:rsidP="003A65BE">
      <w:pPr>
        <w:ind w:left="927" w:hanging="567"/>
        <w:rPr>
          <w:rFonts w:ascii="Verdana" w:hAnsi="Verdana"/>
          <w:bCs/>
          <w:color w:val="000000"/>
          <w:sz w:val="20"/>
          <w:szCs w:val="20"/>
        </w:rPr>
      </w:pPr>
      <w:r w:rsidRPr="00532F7B">
        <w:rPr>
          <w:rFonts w:ascii="Verdana" w:hAnsi="Verdana"/>
          <w:bCs/>
          <w:color w:val="000000"/>
          <w:sz w:val="20"/>
          <w:szCs w:val="20"/>
        </w:rPr>
        <w:t>•</w:t>
      </w:r>
      <w:r w:rsidRPr="00532F7B">
        <w:rPr>
          <w:rFonts w:ascii="Verdana" w:hAnsi="Verdana"/>
          <w:bCs/>
          <w:color w:val="000000"/>
          <w:sz w:val="20"/>
          <w:szCs w:val="20"/>
        </w:rPr>
        <w:tab/>
        <w:t>No new street furniture/clutter</w:t>
      </w:r>
    </w:p>
    <w:p w:rsidR="003A65BE" w:rsidRPr="00532F7B" w:rsidRDefault="003A65BE" w:rsidP="003A65BE">
      <w:pPr>
        <w:ind w:left="927" w:hanging="567"/>
        <w:rPr>
          <w:rFonts w:ascii="Verdana" w:hAnsi="Verdana"/>
          <w:bCs/>
          <w:color w:val="000000"/>
          <w:sz w:val="20"/>
          <w:szCs w:val="20"/>
        </w:rPr>
      </w:pPr>
      <w:r w:rsidRPr="00532F7B">
        <w:rPr>
          <w:rFonts w:ascii="Verdana" w:hAnsi="Verdana"/>
          <w:bCs/>
          <w:color w:val="000000"/>
          <w:sz w:val="20"/>
          <w:szCs w:val="20"/>
        </w:rPr>
        <w:t>•</w:t>
      </w:r>
      <w:r w:rsidRPr="00532F7B">
        <w:rPr>
          <w:rFonts w:ascii="Verdana" w:hAnsi="Verdana"/>
          <w:bCs/>
          <w:color w:val="000000"/>
          <w:sz w:val="20"/>
          <w:szCs w:val="20"/>
        </w:rPr>
        <w:tab/>
        <w:t>Much cheaper installation costs</w:t>
      </w:r>
    </w:p>
    <w:p w:rsidR="00514AA2" w:rsidRPr="00532F7B" w:rsidRDefault="003A65BE" w:rsidP="003A65BE">
      <w:pPr>
        <w:ind w:left="927" w:hanging="567"/>
        <w:rPr>
          <w:rFonts w:ascii="Verdana" w:hAnsi="Verdana"/>
          <w:bCs/>
          <w:color w:val="000000"/>
          <w:sz w:val="20"/>
          <w:szCs w:val="20"/>
        </w:rPr>
      </w:pPr>
      <w:r w:rsidRPr="00532F7B">
        <w:rPr>
          <w:rFonts w:ascii="Verdana" w:hAnsi="Verdana"/>
          <w:bCs/>
          <w:color w:val="000000"/>
          <w:sz w:val="20"/>
          <w:szCs w:val="20"/>
        </w:rPr>
        <w:t>•</w:t>
      </w:r>
      <w:r w:rsidRPr="00532F7B">
        <w:rPr>
          <w:rFonts w:ascii="Verdana" w:hAnsi="Verdana"/>
          <w:bCs/>
          <w:color w:val="000000"/>
          <w:sz w:val="20"/>
          <w:szCs w:val="20"/>
        </w:rPr>
        <w:tab/>
        <w:t>The flexibility to change locations should demand be recognised in alternative locations.</w:t>
      </w:r>
    </w:p>
    <w:p w:rsidR="003A65BE" w:rsidRPr="000E5D44" w:rsidRDefault="003A65BE" w:rsidP="003A65BE">
      <w:pPr>
        <w:rPr>
          <w:rFonts w:ascii="Verdana" w:hAnsi="Verdana"/>
          <w:bCs/>
          <w:color w:val="000000"/>
          <w:sz w:val="22"/>
          <w:szCs w:val="22"/>
        </w:rPr>
      </w:pPr>
    </w:p>
    <w:p w:rsidR="009A3B6D" w:rsidRPr="000E5D44" w:rsidRDefault="009A3B6D" w:rsidP="009A3B6D">
      <w:pPr>
        <w:ind w:left="360"/>
        <w:jc w:val="center"/>
        <w:rPr>
          <w:rFonts w:ascii="Verdana" w:hAnsi="Verdana"/>
          <w:bCs/>
          <w:color w:val="000000"/>
          <w:sz w:val="22"/>
          <w:szCs w:val="22"/>
        </w:rPr>
      </w:pPr>
      <w:r w:rsidRPr="000E5D44">
        <w:rPr>
          <w:rFonts w:ascii="Arial" w:hAnsi="Arial" w:cs="Arial"/>
          <w:noProof/>
          <w:color w:val="001BA0"/>
          <w:sz w:val="22"/>
          <w:szCs w:val="22"/>
        </w:rPr>
        <w:drawing>
          <wp:inline distT="0" distB="0" distL="0" distR="0" wp14:anchorId="290CF1BC" wp14:editId="43F0C7D4">
            <wp:extent cx="3225207" cy="2289658"/>
            <wp:effectExtent l="0" t="0" r="0" b="0"/>
            <wp:docPr id="3" name="Picture 3" descr="Image result for street lighting ev charge point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eet lighting ev charge point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3555" cy="2295584"/>
                    </a:xfrm>
                    <a:prstGeom prst="rect">
                      <a:avLst/>
                    </a:prstGeom>
                    <a:noFill/>
                    <a:ln>
                      <a:noFill/>
                    </a:ln>
                  </pic:spPr>
                </pic:pic>
              </a:graphicData>
            </a:graphic>
          </wp:inline>
        </w:drawing>
      </w:r>
    </w:p>
    <w:p w:rsidR="009A3B6D" w:rsidRPr="00532F7B" w:rsidRDefault="009A3B6D" w:rsidP="00532F7B">
      <w:pPr>
        <w:ind w:left="360"/>
        <w:jc w:val="center"/>
        <w:rPr>
          <w:rFonts w:ascii="Verdana" w:hAnsi="Verdana"/>
          <w:bCs/>
          <w:color w:val="000000"/>
          <w:sz w:val="16"/>
          <w:szCs w:val="16"/>
        </w:rPr>
      </w:pPr>
      <w:r w:rsidRPr="00532F7B">
        <w:rPr>
          <w:rFonts w:ascii="Verdana" w:hAnsi="Verdana"/>
          <w:bCs/>
          <w:color w:val="000000"/>
          <w:sz w:val="16"/>
          <w:szCs w:val="16"/>
        </w:rPr>
        <w:t xml:space="preserve">Figure 1: Light column-fitted </w:t>
      </w:r>
      <w:r w:rsidR="00532F7B" w:rsidRPr="00532F7B">
        <w:rPr>
          <w:rFonts w:ascii="Verdana" w:hAnsi="Verdana"/>
          <w:bCs/>
          <w:color w:val="000000"/>
          <w:sz w:val="16"/>
          <w:szCs w:val="16"/>
        </w:rPr>
        <w:t>electric vehicle charge points</w:t>
      </w:r>
      <w:r w:rsidR="00532F7B">
        <w:rPr>
          <w:rStyle w:val="FootnoteReference"/>
          <w:rFonts w:ascii="Verdana" w:hAnsi="Verdana"/>
          <w:bCs/>
          <w:color w:val="000000"/>
          <w:sz w:val="16"/>
          <w:szCs w:val="16"/>
        </w:rPr>
        <w:footnoteReference w:id="7"/>
      </w:r>
    </w:p>
    <w:p w:rsidR="00532F7B" w:rsidRPr="000E5D44" w:rsidRDefault="00532F7B" w:rsidP="003A65BE">
      <w:pPr>
        <w:ind w:left="360"/>
        <w:rPr>
          <w:rFonts w:ascii="Verdana" w:hAnsi="Verdana"/>
          <w:bCs/>
          <w:color w:val="000000"/>
          <w:sz w:val="22"/>
          <w:szCs w:val="22"/>
        </w:rPr>
      </w:pPr>
    </w:p>
    <w:p w:rsidR="0057747E" w:rsidRPr="00532F7B" w:rsidRDefault="003A65BE" w:rsidP="003A65BE">
      <w:pPr>
        <w:ind w:left="360"/>
        <w:rPr>
          <w:rFonts w:ascii="Verdana" w:hAnsi="Verdana"/>
          <w:bCs/>
          <w:color w:val="000000"/>
          <w:sz w:val="20"/>
          <w:szCs w:val="20"/>
        </w:rPr>
      </w:pPr>
      <w:r w:rsidRPr="00532F7B">
        <w:rPr>
          <w:rFonts w:ascii="Verdana" w:hAnsi="Verdana"/>
          <w:bCs/>
          <w:color w:val="000000"/>
          <w:sz w:val="20"/>
          <w:szCs w:val="20"/>
        </w:rPr>
        <w:t>These chargers will provide a slow (standard) charge that is suitable for residents who can ‘plug in’ overnight or other long periods whilst at home.</w:t>
      </w:r>
      <w:r w:rsidRPr="00532F7B">
        <w:rPr>
          <w:sz w:val="20"/>
          <w:szCs w:val="20"/>
        </w:rPr>
        <w:t xml:space="preserve"> </w:t>
      </w:r>
      <w:r w:rsidRPr="00532F7B">
        <w:rPr>
          <w:rFonts w:ascii="Verdana" w:hAnsi="Verdana"/>
          <w:bCs/>
          <w:color w:val="000000"/>
          <w:sz w:val="20"/>
          <w:szCs w:val="20"/>
        </w:rPr>
        <w:t xml:space="preserve"> Siting in the public car parks in Eye could give access for nearby residents to this low carbon, less polluting and cheaper form of transport, which will in turn help to improve local air quality and make Eye a </w:t>
      </w:r>
      <w:r w:rsidR="0057747E" w:rsidRPr="00532F7B">
        <w:rPr>
          <w:rFonts w:ascii="Verdana" w:hAnsi="Verdana"/>
          <w:bCs/>
          <w:color w:val="000000"/>
          <w:sz w:val="20"/>
          <w:szCs w:val="20"/>
        </w:rPr>
        <w:t>more attractive place to live.</w:t>
      </w:r>
    </w:p>
    <w:p w:rsidR="0057747E" w:rsidRPr="00532F7B" w:rsidRDefault="0057747E" w:rsidP="003A65BE">
      <w:pPr>
        <w:ind w:left="360"/>
        <w:rPr>
          <w:rFonts w:ascii="Verdana" w:hAnsi="Verdana"/>
          <w:bCs/>
          <w:color w:val="000000"/>
          <w:sz w:val="20"/>
          <w:szCs w:val="20"/>
        </w:rPr>
      </w:pPr>
    </w:p>
    <w:p w:rsidR="003A65BE" w:rsidRPr="00532F7B" w:rsidRDefault="003A65BE" w:rsidP="003A65BE">
      <w:pPr>
        <w:ind w:left="360"/>
        <w:rPr>
          <w:rFonts w:ascii="Verdana" w:hAnsi="Verdana"/>
          <w:bCs/>
          <w:color w:val="000000"/>
          <w:sz w:val="20"/>
          <w:szCs w:val="20"/>
        </w:rPr>
      </w:pPr>
      <w:r w:rsidRPr="00532F7B">
        <w:rPr>
          <w:rFonts w:ascii="Verdana" w:hAnsi="Verdana"/>
          <w:bCs/>
          <w:color w:val="000000"/>
          <w:sz w:val="20"/>
          <w:szCs w:val="20"/>
        </w:rPr>
        <w:t>Using available national</w:t>
      </w:r>
      <w:r w:rsidR="000E5D44" w:rsidRPr="00532F7B">
        <w:rPr>
          <w:rStyle w:val="FootnoteReference"/>
          <w:rFonts w:ascii="Verdana" w:hAnsi="Verdana"/>
          <w:bCs/>
          <w:color w:val="000000"/>
          <w:sz w:val="20"/>
          <w:szCs w:val="20"/>
        </w:rPr>
        <w:footnoteReference w:id="8"/>
      </w:r>
      <w:r w:rsidRPr="00532F7B">
        <w:rPr>
          <w:rFonts w:ascii="Verdana" w:hAnsi="Verdana"/>
          <w:bCs/>
          <w:color w:val="000000"/>
          <w:sz w:val="20"/>
          <w:szCs w:val="20"/>
        </w:rPr>
        <w:t xml:space="preserve"> </w:t>
      </w:r>
      <w:r w:rsidR="00C27E80" w:rsidRPr="00532F7B">
        <w:rPr>
          <w:rFonts w:ascii="Verdana" w:hAnsi="Verdana"/>
          <w:bCs/>
          <w:color w:val="000000"/>
          <w:sz w:val="20"/>
          <w:szCs w:val="20"/>
        </w:rPr>
        <w:t>blended with</w:t>
      </w:r>
      <w:r w:rsidR="00AF044F">
        <w:rPr>
          <w:rFonts w:ascii="Verdana" w:hAnsi="Verdana"/>
          <w:bCs/>
          <w:color w:val="000000"/>
          <w:sz w:val="20"/>
          <w:szCs w:val="20"/>
        </w:rPr>
        <w:t xml:space="preserve"> commercial investment and l</w:t>
      </w:r>
      <w:r w:rsidRPr="00532F7B">
        <w:rPr>
          <w:rFonts w:ascii="Verdana" w:hAnsi="Verdana"/>
          <w:bCs/>
          <w:color w:val="000000"/>
          <w:sz w:val="20"/>
          <w:szCs w:val="20"/>
        </w:rPr>
        <w:t>ocal</w:t>
      </w:r>
      <w:r w:rsidR="00532F7B" w:rsidRPr="00532F7B">
        <w:rPr>
          <w:rStyle w:val="FootnoteReference"/>
          <w:rFonts w:ascii="Verdana" w:hAnsi="Verdana"/>
          <w:bCs/>
          <w:color w:val="000000"/>
          <w:sz w:val="20"/>
          <w:szCs w:val="20"/>
        </w:rPr>
        <w:footnoteReference w:id="9"/>
      </w:r>
      <w:r w:rsidRPr="00532F7B">
        <w:rPr>
          <w:rFonts w:ascii="Verdana" w:hAnsi="Verdana"/>
          <w:bCs/>
          <w:color w:val="000000"/>
          <w:sz w:val="20"/>
          <w:szCs w:val="20"/>
        </w:rPr>
        <w:t xml:space="preserve"> funding could also make the installations financially sustainable in the long term. The Cross </w:t>
      </w:r>
      <w:r w:rsidRPr="00532F7B">
        <w:rPr>
          <w:rFonts w:ascii="Verdana" w:hAnsi="Verdana"/>
          <w:bCs/>
          <w:color w:val="000000"/>
          <w:sz w:val="20"/>
          <w:szCs w:val="20"/>
        </w:rPr>
        <w:lastRenderedPageBreak/>
        <w:t>Street and Buckshorn car parks provide likely installation points in existing lighting columns.</w:t>
      </w:r>
      <w:r w:rsidR="00CF5400" w:rsidRPr="00532F7B">
        <w:rPr>
          <w:rFonts w:ascii="Verdana" w:hAnsi="Verdana"/>
          <w:bCs/>
          <w:color w:val="000000"/>
          <w:sz w:val="20"/>
          <w:szCs w:val="20"/>
        </w:rPr>
        <w:t xml:space="preserve">  Given the central location of </w:t>
      </w:r>
      <w:r w:rsidR="001B6FE7">
        <w:rPr>
          <w:rFonts w:ascii="Verdana" w:hAnsi="Verdana"/>
          <w:bCs/>
          <w:color w:val="000000"/>
          <w:sz w:val="20"/>
          <w:szCs w:val="20"/>
        </w:rPr>
        <w:t xml:space="preserve">the </w:t>
      </w:r>
      <w:r w:rsidR="00532F7B" w:rsidRPr="00532F7B">
        <w:rPr>
          <w:rFonts w:ascii="Verdana" w:hAnsi="Verdana"/>
          <w:bCs/>
          <w:color w:val="000000"/>
          <w:sz w:val="20"/>
          <w:szCs w:val="20"/>
        </w:rPr>
        <w:t>existing</w:t>
      </w:r>
      <w:r w:rsidR="00CF5400" w:rsidRPr="00532F7B">
        <w:rPr>
          <w:rFonts w:ascii="Verdana" w:hAnsi="Verdana"/>
          <w:bCs/>
          <w:color w:val="000000"/>
          <w:sz w:val="20"/>
          <w:szCs w:val="20"/>
        </w:rPr>
        <w:t xml:space="preserve"> lighting </w:t>
      </w:r>
      <w:r w:rsidR="00532F7B" w:rsidRPr="00532F7B">
        <w:rPr>
          <w:rFonts w:ascii="Verdana" w:hAnsi="Verdana"/>
          <w:bCs/>
          <w:color w:val="000000"/>
          <w:sz w:val="20"/>
          <w:szCs w:val="20"/>
        </w:rPr>
        <w:t>columns</w:t>
      </w:r>
      <w:r w:rsidR="00CF5400" w:rsidRPr="00532F7B">
        <w:rPr>
          <w:rFonts w:ascii="Verdana" w:hAnsi="Verdana"/>
          <w:bCs/>
          <w:color w:val="000000"/>
          <w:sz w:val="20"/>
          <w:szCs w:val="20"/>
        </w:rPr>
        <w:t xml:space="preserve"> several bays would be served increasing accessibility.</w:t>
      </w:r>
    </w:p>
    <w:p w:rsidR="003A65BE" w:rsidRPr="000E5D44" w:rsidRDefault="003A65BE" w:rsidP="003A65BE">
      <w:pPr>
        <w:ind w:left="360"/>
        <w:rPr>
          <w:rFonts w:ascii="Verdana" w:hAnsi="Verdana"/>
          <w:b/>
          <w:sz w:val="22"/>
          <w:szCs w:val="22"/>
        </w:rPr>
      </w:pPr>
    </w:p>
    <w:p w:rsidR="00514AA2" w:rsidRPr="000E5D44" w:rsidRDefault="00514AA2" w:rsidP="003A65BE">
      <w:pPr>
        <w:jc w:val="center"/>
        <w:rPr>
          <w:rFonts w:ascii="Verdana" w:hAnsi="Verdana"/>
          <w:b/>
          <w:sz w:val="22"/>
          <w:szCs w:val="22"/>
        </w:rPr>
      </w:pPr>
      <w:r w:rsidRPr="000E5D44">
        <w:rPr>
          <w:noProof/>
          <w:sz w:val="22"/>
          <w:szCs w:val="22"/>
        </w:rPr>
        <w:drawing>
          <wp:inline distT="0" distB="0" distL="0" distR="0">
            <wp:extent cx="3767328" cy="2116360"/>
            <wp:effectExtent l="0" t="0" r="5080" b="0"/>
            <wp:docPr id="1" name="Picture 1" descr="C:\Users\pgudde\AppData\Local\Microsoft\Windows\INetCache\Content.Word\WP_201809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udde\AppData\Local\Microsoft\Windows\INetCache\Content.Word\WP_20180916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642" cy="2127772"/>
                    </a:xfrm>
                    <a:prstGeom prst="rect">
                      <a:avLst/>
                    </a:prstGeom>
                    <a:noFill/>
                    <a:ln>
                      <a:noFill/>
                    </a:ln>
                  </pic:spPr>
                </pic:pic>
              </a:graphicData>
            </a:graphic>
          </wp:inline>
        </w:drawing>
      </w:r>
    </w:p>
    <w:p w:rsidR="00514AA2" w:rsidRPr="000E5D44" w:rsidRDefault="00CF5400" w:rsidP="003A65BE">
      <w:pPr>
        <w:jc w:val="center"/>
        <w:rPr>
          <w:rFonts w:ascii="Verdana" w:hAnsi="Verdana"/>
          <w:b/>
          <w:sz w:val="22"/>
          <w:szCs w:val="22"/>
        </w:rPr>
      </w:pPr>
      <w:r w:rsidRPr="000E5D44">
        <w:rPr>
          <w:rFonts w:ascii="Verdana" w:hAnsi="Verdana"/>
          <w:b/>
          <w:sz w:val="22"/>
          <w:szCs w:val="22"/>
        </w:rPr>
        <w:t xml:space="preserve">Figure 1: </w:t>
      </w:r>
      <w:r w:rsidR="00514AA2" w:rsidRPr="000E5D44">
        <w:rPr>
          <w:rFonts w:ascii="Verdana" w:hAnsi="Verdana"/>
          <w:b/>
          <w:sz w:val="22"/>
          <w:szCs w:val="22"/>
        </w:rPr>
        <w:t>Buckshorn Lane car park</w:t>
      </w:r>
    </w:p>
    <w:p w:rsidR="00CF5400" w:rsidRPr="000E5D44" w:rsidRDefault="00CF5400" w:rsidP="003A65BE">
      <w:pPr>
        <w:jc w:val="center"/>
        <w:rPr>
          <w:rFonts w:ascii="Verdana" w:hAnsi="Verdana"/>
          <w:b/>
          <w:sz w:val="22"/>
          <w:szCs w:val="22"/>
        </w:rPr>
      </w:pPr>
    </w:p>
    <w:p w:rsidR="00514AA2" w:rsidRPr="000E5D44" w:rsidRDefault="00514AA2" w:rsidP="00CF5400">
      <w:pPr>
        <w:jc w:val="center"/>
        <w:rPr>
          <w:rFonts w:ascii="Verdana" w:hAnsi="Verdana"/>
          <w:b/>
          <w:sz w:val="22"/>
          <w:szCs w:val="22"/>
        </w:rPr>
      </w:pPr>
      <w:r w:rsidRPr="000E5D44">
        <w:rPr>
          <w:noProof/>
          <w:sz w:val="22"/>
          <w:szCs w:val="22"/>
        </w:rPr>
        <w:drawing>
          <wp:inline distT="0" distB="0" distL="0" distR="0">
            <wp:extent cx="3776311" cy="2121408"/>
            <wp:effectExtent l="0" t="0" r="0" b="0"/>
            <wp:docPr id="2" name="Picture 2" descr="C:\Users\pgudde\AppData\Local\Microsoft\Windows\INetCache\Content.Word\WP_2018091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udde\AppData\Local\Microsoft\Windows\INetCache\Content.Word\WP_20180916_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596" cy="2132804"/>
                    </a:xfrm>
                    <a:prstGeom prst="rect">
                      <a:avLst/>
                    </a:prstGeom>
                    <a:noFill/>
                    <a:ln>
                      <a:noFill/>
                    </a:ln>
                  </pic:spPr>
                </pic:pic>
              </a:graphicData>
            </a:graphic>
          </wp:inline>
        </w:drawing>
      </w:r>
    </w:p>
    <w:p w:rsidR="00514AA2" w:rsidRPr="000E5D44" w:rsidRDefault="00CF5400" w:rsidP="00CF5400">
      <w:pPr>
        <w:jc w:val="center"/>
        <w:rPr>
          <w:rFonts w:ascii="Verdana" w:hAnsi="Verdana"/>
          <w:b/>
          <w:sz w:val="22"/>
          <w:szCs w:val="22"/>
        </w:rPr>
      </w:pPr>
      <w:r w:rsidRPr="000E5D44">
        <w:rPr>
          <w:rFonts w:ascii="Verdana" w:hAnsi="Verdana"/>
          <w:b/>
          <w:sz w:val="22"/>
          <w:szCs w:val="22"/>
        </w:rPr>
        <w:t xml:space="preserve">Figure 2: </w:t>
      </w:r>
      <w:r w:rsidR="00514AA2" w:rsidRPr="000E5D44">
        <w:rPr>
          <w:rFonts w:ascii="Verdana" w:hAnsi="Verdana"/>
          <w:b/>
          <w:sz w:val="22"/>
          <w:szCs w:val="22"/>
        </w:rPr>
        <w:t>Cross Street Car park</w:t>
      </w:r>
    </w:p>
    <w:p w:rsidR="009660CC" w:rsidRPr="000E5D44" w:rsidRDefault="009660CC" w:rsidP="009660CC">
      <w:pPr>
        <w:rPr>
          <w:rFonts w:ascii="Verdana" w:hAnsi="Verdana"/>
          <w:b/>
          <w:sz w:val="22"/>
          <w:szCs w:val="22"/>
        </w:rPr>
      </w:pPr>
    </w:p>
    <w:p w:rsidR="009660CC" w:rsidRPr="00532F7B" w:rsidRDefault="0057747E" w:rsidP="009660CC">
      <w:pPr>
        <w:rPr>
          <w:rFonts w:ascii="Verdana" w:hAnsi="Verdana"/>
          <w:sz w:val="20"/>
          <w:szCs w:val="20"/>
        </w:rPr>
      </w:pPr>
      <w:r w:rsidRPr="00532F7B">
        <w:rPr>
          <w:rFonts w:ascii="Verdana" w:hAnsi="Verdana"/>
          <w:sz w:val="20"/>
          <w:szCs w:val="20"/>
        </w:rPr>
        <w:t xml:space="preserve">The Cross Street car park is situated adjacent to an 11kV UK Power Networks sub-station.  Enquiries to Mid Suffolk District </w:t>
      </w:r>
      <w:r w:rsidR="00532F7B" w:rsidRPr="00532F7B">
        <w:rPr>
          <w:rFonts w:ascii="Verdana" w:hAnsi="Verdana"/>
          <w:sz w:val="20"/>
          <w:szCs w:val="20"/>
        </w:rPr>
        <w:t>Council</w:t>
      </w:r>
      <w:r w:rsidRPr="00532F7B">
        <w:rPr>
          <w:rFonts w:ascii="Verdana" w:hAnsi="Verdana"/>
          <w:sz w:val="20"/>
          <w:szCs w:val="20"/>
        </w:rPr>
        <w:t xml:space="preserve"> has revealed that this could be accessed to provide rapid charging provision</w:t>
      </w:r>
      <w:r w:rsidR="001B6FE7">
        <w:rPr>
          <w:rFonts w:ascii="Verdana" w:hAnsi="Verdana"/>
          <w:sz w:val="20"/>
          <w:szCs w:val="20"/>
        </w:rPr>
        <w:t xml:space="preserve"> </w:t>
      </w:r>
      <w:r w:rsidR="00FC7C2E">
        <w:rPr>
          <w:rFonts w:ascii="Verdana" w:hAnsi="Verdana"/>
          <w:sz w:val="20"/>
          <w:szCs w:val="20"/>
        </w:rPr>
        <w:t>subject</w:t>
      </w:r>
      <w:r w:rsidR="001B6FE7">
        <w:rPr>
          <w:rFonts w:ascii="Verdana" w:hAnsi="Verdana"/>
          <w:sz w:val="20"/>
          <w:szCs w:val="20"/>
        </w:rPr>
        <w:t xml:space="preserve"> to the relevant agreements and funding</w:t>
      </w:r>
      <w:r w:rsidRPr="00532F7B">
        <w:rPr>
          <w:rFonts w:ascii="Verdana" w:hAnsi="Verdana"/>
          <w:sz w:val="20"/>
          <w:szCs w:val="20"/>
        </w:rPr>
        <w:t>.</w:t>
      </w:r>
      <w:r w:rsidR="000E5D44" w:rsidRPr="00532F7B">
        <w:rPr>
          <w:rFonts w:ascii="Verdana" w:hAnsi="Verdana"/>
          <w:sz w:val="20"/>
          <w:szCs w:val="20"/>
        </w:rPr>
        <w:t xml:space="preserve">  A blend of national and local funding could make the installations financially sustainable in the long term.</w:t>
      </w:r>
    </w:p>
    <w:p w:rsidR="000E5D44" w:rsidRPr="00532F7B" w:rsidRDefault="000E5D44" w:rsidP="009660CC">
      <w:pPr>
        <w:rPr>
          <w:rFonts w:ascii="Verdana" w:hAnsi="Verdana"/>
          <w:sz w:val="20"/>
          <w:szCs w:val="20"/>
        </w:rPr>
      </w:pPr>
    </w:p>
    <w:p w:rsidR="000E5D44" w:rsidRDefault="000E5D44" w:rsidP="001B6FE7">
      <w:pPr>
        <w:pStyle w:val="ListParagraph"/>
        <w:numPr>
          <w:ilvl w:val="0"/>
          <w:numId w:val="2"/>
        </w:numPr>
        <w:rPr>
          <w:rFonts w:ascii="Verdana" w:hAnsi="Verdana"/>
          <w:sz w:val="20"/>
          <w:szCs w:val="20"/>
        </w:rPr>
      </w:pPr>
      <w:r w:rsidRPr="001B6FE7">
        <w:rPr>
          <w:rFonts w:ascii="Verdana" w:hAnsi="Verdana"/>
          <w:b/>
          <w:sz w:val="20"/>
          <w:szCs w:val="20"/>
        </w:rPr>
        <w:t>Employment areas</w:t>
      </w:r>
      <w:r w:rsidRPr="001B6FE7">
        <w:rPr>
          <w:rFonts w:ascii="Verdana" w:hAnsi="Verdana"/>
          <w:sz w:val="20"/>
          <w:szCs w:val="20"/>
        </w:rPr>
        <w:t xml:space="preserve"> – employers should be supported to install a range of charging connections to facilitate the uptake of EV amongst their employees and also their </w:t>
      </w:r>
      <w:r w:rsidR="00532F7B" w:rsidRPr="001B6FE7">
        <w:rPr>
          <w:rFonts w:ascii="Verdana" w:hAnsi="Verdana"/>
          <w:sz w:val="20"/>
          <w:szCs w:val="20"/>
        </w:rPr>
        <w:t>business</w:t>
      </w:r>
      <w:r w:rsidRPr="001B6FE7">
        <w:rPr>
          <w:rFonts w:ascii="Verdana" w:hAnsi="Verdana"/>
          <w:sz w:val="20"/>
          <w:szCs w:val="20"/>
        </w:rPr>
        <w:t xml:space="preserve"> fleets (i.e. passenger and light commercial vehicles).  A blend of national</w:t>
      </w:r>
      <w:r w:rsidRPr="00532F7B">
        <w:rPr>
          <w:rStyle w:val="FootnoteReference"/>
          <w:rFonts w:ascii="Verdana" w:hAnsi="Verdana"/>
          <w:sz w:val="20"/>
          <w:szCs w:val="20"/>
        </w:rPr>
        <w:footnoteReference w:id="10"/>
      </w:r>
      <w:r w:rsidRPr="001B6FE7">
        <w:rPr>
          <w:rFonts w:ascii="Verdana" w:hAnsi="Verdana"/>
          <w:sz w:val="20"/>
          <w:szCs w:val="20"/>
        </w:rPr>
        <w:t xml:space="preserve"> and local funding could make the installations financially sustainable in the long term.</w:t>
      </w:r>
    </w:p>
    <w:p w:rsidR="001B6FE7" w:rsidRDefault="001B6FE7" w:rsidP="001B6FE7">
      <w:pPr>
        <w:rPr>
          <w:rFonts w:ascii="Verdana" w:hAnsi="Verdana"/>
          <w:sz w:val="20"/>
          <w:szCs w:val="20"/>
        </w:rPr>
      </w:pPr>
    </w:p>
    <w:p w:rsidR="001B6FE7" w:rsidRPr="001B6FE7" w:rsidRDefault="001B6FE7" w:rsidP="001B6FE7">
      <w:pPr>
        <w:rPr>
          <w:rFonts w:ascii="Verdana" w:hAnsi="Verdana"/>
          <w:sz w:val="20"/>
          <w:szCs w:val="20"/>
        </w:rPr>
      </w:pPr>
      <w:r>
        <w:rPr>
          <w:rFonts w:ascii="Verdana" w:hAnsi="Verdana"/>
          <w:sz w:val="20"/>
          <w:szCs w:val="20"/>
        </w:rPr>
        <w:t xml:space="preserve">Many technical, legal and financial </w:t>
      </w:r>
      <w:r w:rsidR="00FC7C2E">
        <w:rPr>
          <w:rFonts w:ascii="Verdana" w:hAnsi="Verdana"/>
          <w:sz w:val="20"/>
          <w:szCs w:val="20"/>
        </w:rPr>
        <w:t>challenges exis</w:t>
      </w:r>
      <w:r>
        <w:rPr>
          <w:rFonts w:ascii="Verdana" w:hAnsi="Verdana"/>
          <w:sz w:val="20"/>
          <w:szCs w:val="20"/>
        </w:rPr>
        <w:t>ti</w:t>
      </w:r>
      <w:r w:rsidR="00FC7C2E">
        <w:rPr>
          <w:rFonts w:ascii="Verdana" w:hAnsi="Verdana"/>
          <w:sz w:val="20"/>
          <w:szCs w:val="20"/>
        </w:rPr>
        <w:t>n</w:t>
      </w:r>
      <w:r>
        <w:rPr>
          <w:rFonts w:ascii="Verdana" w:hAnsi="Verdana"/>
          <w:sz w:val="20"/>
          <w:szCs w:val="20"/>
        </w:rPr>
        <w:t>g to achieving this st</w:t>
      </w:r>
      <w:r w:rsidR="00FC7C2E">
        <w:rPr>
          <w:rFonts w:ascii="Verdana" w:hAnsi="Verdana"/>
          <w:sz w:val="20"/>
          <w:szCs w:val="20"/>
        </w:rPr>
        <w:t>rate</w:t>
      </w:r>
      <w:r>
        <w:rPr>
          <w:rFonts w:ascii="Verdana" w:hAnsi="Verdana"/>
          <w:sz w:val="20"/>
          <w:szCs w:val="20"/>
        </w:rPr>
        <w:t xml:space="preserve">gy for Eye.  Support is </w:t>
      </w:r>
      <w:r w:rsidR="00FC7C2E">
        <w:rPr>
          <w:rFonts w:ascii="Verdana" w:hAnsi="Verdana"/>
          <w:sz w:val="20"/>
          <w:szCs w:val="20"/>
        </w:rPr>
        <w:t xml:space="preserve">therefore </w:t>
      </w:r>
      <w:r>
        <w:rPr>
          <w:rFonts w:ascii="Verdana" w:hAnsi="Verdana"/>
          <w:sz w:val="20"/>
          <w:szCs w:val="20"/>
        </w:rPr>
        <w:t xml:space="preserve">sought in the first instance through the Neighbourhood Planning route in order to build awareness of the </w:t>
      </w:r>
      <w:r w:rsidR="00FC7C2E">
        <w:rPr>
          <w:rFonts w:ascii="Verdana" w:hAnsi="Verdana"/>
          <w:sz w:val="20"/>
          <w:szCs w:val="20"/>
        </w:rPr>
        <w:t>o</w:t>
      </w:r>
      <w:r>
        <w:rPr>
          <w:rFonts w:ascii="Verdana" w:hAnsi="Verdana"/>
          <w:sz w:val="20"/>
          <w:szCs w:val="20"/>
        </w:rPr>
        <w:t>pportunities</w:t>
      </w:r>
      <w:r w:rsidR="00FC7C2E">
        <w:rPr>
          <w:rFonts w:ascii="Verdana" w:hAnsi="Verdana"/>
          <w:sz w:val="20"/>
          <w:szCs w:val="20"/>
        </w:rPr>
        <w:t>, start engagement with key stakeholders and gain support for further exploration of the opportunities.</w:t>
      </w:r>
    </w:p>
    <w:sectPr w:rsidR="001B6FE7" w:rsidRPr="001B6FE7" w:rsidSect="0093001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E2D" w:rsidRDefault="009E7E2D" w:rsidP="009A3B6D">
      <w:r>
        <w:separator/>
      </w:r>
    </w:p>
  </w:endnote>
  <w:endnote w:type="continuationSeparator" w:id="0">
    <w:p w:rsidR="009E7E2D" w:rsidRDefault="009E7E2D" w:rsidP="009A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1FD" w:rsidRDefault="006951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571755"/>
      <w:docPartObj>
        <w:docPartGallery w:val="Page Numbers (Bottom of Page)"/>
        <w:docPartUnique/>
      </w:docPartObj>
    </w:sdtPr>
    <w:sdtEndPr>
      <w:rPr>
        <w:rFonts w:ascii="Verdana" w:hAnsi="Verdana"/>
        <w:noProof/>
        <w:sz w:val="20"/>
        <w:szCs w:val="20"/>
      </w:rPr>
    </w:sdtEndPr>
    <w:sdtContent>
      <w:p w:rsidR="00AF044F" w:rsidRPr="00AF044F" w:rsidRDefault="00AF044F">
        <w:pPr>
          <w:pStyle w:val="Footer"/>
          <w:jc w:val="center"/>
          <w:rPr>
            <w:rFonts w:ascii="Verdana" w:hAnsi="Verdana"/>
            <w:sz w:val="20"/>
            <w:szCs w:val="20"/>
          </w:rPr>
        </w:pPr>
        <w:r w:rsidRPr="00AF044F">
          <w:rPr>
            <w:rFonts w:ascii="Verdana" w:hAnsi="Verdana"/>
            <w:sz w:val="20"/>
            <w:szCs w:val="20"/>
          </w:rPr>
          <w:fldChar w:fldCharType="begin"/>
        </w:r>
        <w:r w:rsidRPr="00AF044F">
          <w:rPr>
            <w:rFonts w:ascii="Verdana" w:hAnsi="Verdana"/>
            <w:sz w:val="20"/>
            <w:szCs w:val="20"/>
          </w:rPr>
          <w:instrText xml:space="preserve"> PAGE   \* MERGEFORMAT </w:instrText>
        </w:r>
        <w:r w:rsidRPr="00AF044F">
          <w:rPr>
            <w:rFonts w:ascii="Verdana" w:hAnsi="Verdana"/>
            <w:sz w:val="20"/>
            <w:szCs w:val="20"/>
          </w:rPr>
          <w:fldChar w:fldCharType="separate"/>
        </w:r>
        <w:r w:rsidR="006951FD">
          <w:rPr>
            <w:rFonts w:ascii="Verdana" w:hAnsi="Verdana"/>
            <w:noProof/>
            <w:sz w:val="20"/>
            <w:szCs w:val="20"/>
          </w:rPr>
          <w:t>1</w:t>
        </w:r>
        <w:r w:rsidRPr="00AF044F">
          <w:rPr>
            <w:rFonts w:ascii="Verdana" w:hAnsi="Verdana"/>
            <w:noProof/>
            <w:sz w:val="20"/>
            <w:szCs w:val="20"/>
          </w:rPr>
          <w:fldChar w:fldCharType="end"/>
        </w:r>
      </w:p>
    </w:sdtContent>
  </w:sdt>
  <w:p w:rsidR="00AF044F" w:rsidRPr="00AF044F" w:rsidRDefault="00AF044F" w:rsidP="00AF044F">
    <w:pPr>
      <w:pStyle w:val="Footer"/>
      <w:jc w:val="right"/>
      <w:rPr>
        <w:rFonts w:ascii="Verdana" w:hAnsi="Verdana"/>
        <w:noProof/>
        <w:sz w:val="16"/>
        <w:szCs w:val="16"/>
      </w:rPr>
    </w:pPr>
    <w:r w:rsidRPr="00AF044F">
      <w:rPr>
        <w:rFonts w:ascii="Verdana" w:hAnsi="Verdana"/>
        <w:noProof/>
        <w:sz w:val="16"/>
        <w:szCs w:val="16"/>
      </w:rPr>
      <w:t>Version: October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1FD" w:rsidRDefault="00695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E2D" w:rsidRDefault="009E7E2D" w:rsidP="009A3B6D">
      <w:r>
        <w:separator/>
      </w:r>
    </w:p>
  </w:footnote>
  <w:footnote w:type="continuationSeparator" w:id="0">
    <w:p w:rsidR="009E7E2D" w:rsidRDefault="009E7E2D" w:rsidP="009A3B6D">
      <w:r>
        <w:continuationSeparator/>
      </w:r>
    </w:p>
  </w:footnote>
  <w:footnote w:id="1">
    <w:p w:rsidR="00C27E80" w:rsidRPr="00532F7B" w:rsidRDefault="00C27E80">
      <w:pPr>
        <w:pStyle w:val="FootnoteText"/>
        <w:rPr>
          <w:rFonts w:ascii="Verdana" w:hAnsi="Verdana"/>
          <w:sz w:val="16"/>
          <w:szCs w:val="16"/>
        </w:rPr>
      </w:pPr>
      <w:r>
        <w:rPr>
          <w:rStyle w:val="FootnoteReference"/>
        </w:rPr>
        <w:footnoteRef/>
      </w:r>
      <w:r>
        <w:t xml:space="preserve"> </w:t>
      </w:r>
      <w:hyperlink r:id="rId1" w:history="1">
        <w:r w:rsidRPr="00532F7B">
          <w:rPr>
            <w:rStyle w:val="Hyperlink"/>
            <w:rFonts w:ascii="Verdana" w:hAnsi="Verdana"/>
            <w:sz w:val="16"/>
            <w:szCs w:val="16"/>
          </w:rPr>
          <w:t>https://www.gov.uk/government/publications/reducing-emissions-from-road-transport-road-to-zero-strategy</w:t>
        </w:r>
      </w:hyperlink>
      <w:r w:rsidRPr="00532F7B">
        <w:rPr>
          <w:rFonts w:ascii="Verdana" w:hAnsi="Verdana"/>
          <w:sz w:val="16"/>
          <w:szCs w:val="16"/>
        </w:rPr>
        <w:t xml:space="preserve"> </w:t>
      </w:r>
    </w:p>
  </w:footnote>
  <w:footnote w:id="2">
    <w:p w:rsidR="00424BBC" w:rsidRDefault="00424BBC">
      <w:pPr>
        <w:pStyle w:val="FootnoteText"/>
      </w:pPr>
      <w:r w:rsidRPr="00532F7B">
        <w:rPr>
          <w:rStyle w:val="FootnoteReference"/>
          <w:rFonts w:ascii="Verdana" w:hAnsi="Verdana"/>
          <w:sz w:val="16"/>
          <w:szCs w:val="16"/>
        </w:rPr>
        <w:footnoteRef/>
      </w:r>
      <w:r w:rsidRPr="00532F7B">
        <w:rPr>
          <w:rFonts w:ascii="Verdana" w:hAnsi="Verdana"/>
          <w:sz w:val="16"/>
          <w:szCs w:val="16"/>
        </w:rPr>
        <w:t xml:space="preserve"> Zapmap</w:t>
      </w:r>
    </w:p>
  </w:footnote>
  <w:footnote w:id="3">
    <w:p w:rsidR="00DE2CFD" w:rsidRPr="00532F7B" w:rsidRDefault="00DE2CFD">
      <w:pPr>
        <w:pStyle w:val="FootnoteText"/>
        <w:rPr>
          <w:rFonts w:ascii="Verdana" w:hAnsi="Verdana"/>
          <w:sz w:val="16"/>
          <w:szCs w:val="16"/>
        </w:rPr>
      </w:pPr>
      <w:r>
        <w:rPr>
          <w:rStyle w:val="FootnoteReference"/>
        </w:rPr>
        <w:footnoteRef/>
      </w:r>
      <w:r>
        <w:t xml:space="preserve"> </w:t>
      </w:r>
      <w:r w:rsidRPr="00532F7B">
        <w:rPr>
          <w:rFonts w:ascii="Verdana" w:hAnsi="Verdana"/>
          <w:sz w:val="16"/>
          <w:szCs w:val="16"/>
        </w:rPr>
        <w:t>European Alternative Fuels Observatory</w:t>
      </w:r>
    </w:p>
  </w:footnote>
  <w:footnote w:id="4">
    <w:p w:rsidR="00DE2CFD" w:rsidRPr="00532F7B" w:rsidRDefault="00DE2CFD">
      <w:pPr>
        <w:pStyle w:val="FootnoteText"/>
        <w:rPr>
          <w:rFonts w:ascii="Verdana" w:hAnsi="Verdana"/>
          <w:sz w:val="16"/>
          <w:szCs w:val="16"/>
        </w:rPr>
      </w:pPr>
      <w:r w:rsidRPr="00532F7B">
        <w:rPr>
          <w:rStyle w:val="FootnoteReference"/>
          <w:rFonts w:ascii="Verdana" w:hAnsi="Verdana"/>
          <w:sz w:val="16"/>
          <w:szCs w:val="16"/>
        </w:rPr>
        <w:footnoteRef/>
      </w:r>
      <w:r w:rsidRPr="00532F7B">
        <w:rPr>
          <w:rFonts w:ascii="Verdana" w:hAnsi="Verdana"/>
          <w:sz w:val="16"/>
          <w:szCs w:val="16"/>
        </w:rPr>
        <w:t xml:space="preserve"> </w:t>
      </w:r>
      <w:hyperlink r:id="rId2" w:history="1">
        <w:r w:rsidRPr="00532F7B">
          <w:rPr>
            <w:rStyle w:val="Hyperlink"/>
            <w:rFonts w:ascii="Verdana" w:hAnsi="Verdana"/>
            <w:sz w:val="16"/>
            <w:szCs w:val="16"/>
          </w:rPr>
          <w:t>www.ukpowernetworks.co.uk/internet/en/have-your-say/documents/EV%20Presentation_2018.03.13_V0.1</w:t>
        </w:r>
      </w:hyperlink>
      <w:r w:rsidRPr="00532F7B">
        <w:rPr>
          <w:rFonts w:ascii="Verdana" w:hAnsi="Verdana"/>
          <w:sz w:val="16"/>
          <w:szCs w:val="16"/>
        </w:rPr>
        <w:t xml:space="preserve"> </w:t>
      </w:r>
    </w:p>
  </w:footnote>
  <w:footnote w:id="5">
    <w:p w:rsidR="009A3B6D" w:rsidRDefault="009A3B6D">
      <w:pPr>
        <w:pStyle w:val="FootnoteText"/>
      </w:pPr>
      <w:r w:rsidRPr="00532F7B">
        <w:rPr>
          <w:rStyle w:val="FootnoteReference"/>
          <w:rFonts w:ascii="Verdana" w:hAnsi="Verdana"/>
          <w:sz w:val="16"/>
          <w:szCs w:val="16"/>
        </w:rPr>
        <w:footnoteRef/>
      </w:r>
      <w:r w:rsidRPr="00532F7B">
        <w:rPr>
          <w:rFonts w:ascii="Verdana" w:hAnsi="Verdana"/>
          <w:sz w:val="16"/>
          <w:szCs w:val="16"/>
        </w:rPr>
        <w:t xml:space="preserve"> Zapmap, </w:t>
      </w:r>
      <w:hyperlink r:id="rId3" w:history="1">
        <w:r w:rsidRPr="00532F7B">
          <w:rPr>
            <w:rStyle w:val="Hyperlink"/>
            <w:rFonts w:ascii="Verdana" w:hAnsi="Verdana"/>
            <w:sz w:val="16"/>
            <w:szCs w:val="16"/>
          </w:rPr>
          <w:t>https://www.zap-map.com/charge-points/</w:t>
        </w:r>
      </w:hyperlink>
      <w:r>
        <w:t xml:space="preserve"> </w:t>
      </w:r>
    </w:p>
  </w:footnote>
  <w:footnote w:id="6">
    <w:p w:rsidR="000E5D44" w:rsidRPr="00532F7B" w:rsidRDefault="000E5D44">
      <w:pPr>
        <w:pStyle w:val="FootnoteText"/>
        <w:rPr>
          <w:rFonts w:ascii="Verdana" w:hAnsi="Verdana"/>
          <w:sz w:val="16"/>
          <w:szCs w:val="16"/>
        </w:rPr>
      </w:pPr>
      <w:r w:rsidRPr="00532F7B">
        <w:rPr>
          <w:rStyle w:val="FootnoteReference"/>
          <w:rFonts w:ascii="Verdana" w:hAnsi="Verdana"/>
          <w:sz w:val="16"/>
          <w:szCs w:val="16"/>
        </w:rPr>
        <w:footnoteRef/>
      </w:r>
      <w:r w:rsidRPr="00532F7B">
        <w:rPr>
          <w:rFonts w:ascii="Verdana" w:hAnsi="Verdana"/>
          <w:sz w:val="16"/>
          <w:szCs w:val="16"/>
        </w:rPr>
        <w:t xml:space="preserve"> The Electric Vehicle Homecharge Scheme available through the Electric Vehicle Homecharge Scheme (EVHS)</w:t>
      </w:r>
    </w:p>
  </w:footnote>
  <w:footnote w:id="7">
    <w:p w:rsidR="00532F7B" w:rsidRPr="00532F7B" w:rsidRDefault="00532F7B">
      <w:pPr>
        <w:pStyle w:val="FootnoteText"/>
        <w:rPr>
          <w:rFonts w:ascii="Verdana" w:hAnsi="Verdana"/>
          <w:sz w:val="16"/>
          <w:szCs w:val="16"/>
        </w:rPr>
      </w:pPr>
      <w:r w:rsidRPr="00532F7B">
        <w:rPr>
          <w:rStyle w:val="FootnoteReference"/>
          <w:rFonts w:ascii="Verdana" w:hAnsi="Verdana"/>
          <w:sz w:val="16"/>
          <w:szCs w:val="16"/>
        </w:rPr>
        <w:footnoteRef/>
      </w:r>
      <w:r w:rsidRPr="00532F7B">
        <w:rPr>
          <w:rFonts w:ascii="Verdana" w:hAnsi="Verdana"/>
          <w:sz w:val="16"/>
          <w:szCs w:val="16"/>
        </w:rPr>
        <w:t xml:space="preserve"> Source: Ecotricity</w:t>
      </w:r>
    </w:p>
  </w:footnote>
  <w:footnote w:id="8">
    <w:p w:rsidR="000E5D44" w:rsidRPr="00532F7B" w:rsidRDefault="000E5D44">
      <w:pPr>
        <w:pStyle w:val="FootnoteText"/>
        <w:rPr>
          <w:rFonts w:ascii="Verdana" w:hAnsi="Verdana"/>
          <w:sz w:val="16"/>
          <w:szCs w:val="16"/>
        </w:rPr>
      </w:pPr>
      <w:r w:rsidRPr="00532F7B">
        <w:rPr>
          <w:rStyle w:val="FootnoteReference"/>
          <w:rFonts w:ascii="Verdana" w:hAnsi="Verdana"/>
          <w:sz w:val="16"/>
          <w:szCs w:val="16"/>
        </w:rPr>
        <w:footnoteRef/>
      </w:r>
      <w:r w:rsidRPr="00532F7B">
        <w:rPr>
          <w:rFonts w:ascii="Verdana" w:hAnsi="Verdana"/>
          <w:sz w:val="16"/>
          <w:szCs w:val="16"/>
        </w:rPr>
        <w:t xml:space="preserve"> The On-Street Residential Grant Scheme available through the </w:t>
      </w:r>
      <w:r w:rsidR="00532F7B" w:rsidRPr="00532F7B">
        <w:rPr>
          <w:rFonts w:ascii="Verdana" w:hAnsi="Verdana"/>
          <w:sz w:val="16"/>
          <w:szCs w:val="16"/>
        </w:rPr>
        <w:t>Office</w:t>
      </w:r>
      <w:r w:rsidRPr="00532F7B">
        <w:rPr>
          <w:rFonts w:ascii="Verdana" w:hAnsi="Verdana"/>
          <w:sz w:val="16"/>
          <w:szCs w:val="16"/>
        </w:rPr>
        <w:t xml:space="preserve"> of Low Emission Vehicles (OLEV)</w:t>
      </w:r>
    </w:p>
  </w:footnote>
  <w:footnote w:id="9">
    <w:p w:rsidR="00532F7B" w:rsidRDefault="00532F7B">
      <w:pPr>
        <w:pStyle w:val="FootnoteText"/>
      </w:pPr>
      <w:r w:rsidRPr="00532F7B">
        <w:rPr>
          <w:rStyle w:val="FootnoteReference"/>
          <w:rFonts w:ascii="Verdana" w:hAnsi="Verdana"/>
          <w:sz w:val="16"/>
          <w:szCs w:val="16"/>
        </w:rPr>
        <w:footnoteRef/>
      </w:r>
      <w:r w:rsidRPr="00532F7B">
        <w:rPr>
          <w:rFonts w:ascii="Verdana" w:hAnsi="Verdana"/>
          <w:sz w:val="16"/>
          <w:szCs w:val="16"/>
        </w:rPr>
        <w:t xml:space="preserve"> E.g. Community Infrastructure Levy, Local Large Scale Renewable Energy schemes providing community-directed funding, locality funding, crowd-funding</w:t>
      </w:r>
    </w:p>
  </w:footnote>
  <w:footnote w:id="10">
    <w:p w:rsidR="000E5D44" w:rsidRDefault="000E5D44">
      <w:pPr>
        <w:pStyle w:val="FootnoteText"/>
      </w:pPr>
      <w:r>
        <w:rPr>
          <w:rStyle w:val="FootnoteReference"/>
        </w:rPr>
        <w:footnoteRef/>
      </w:r>
      <w:r>
        <w:t xml:space="preserve"> </w:t>
      </w:r>
      <w:r w:rsidRPr="000E5D44">
        <w:t>Th</w:t>
      </w:r>
      <w:r>
        <w:t xml:space="preserve">e Workplace Charging Scheme available through the </w:t>
      </w:r>
      <w:r w:rsidR="00532F7B">
        <w:t>Office</w:t>
      </w:r>
      <w:r>
        <w:t xml:space="preserve"> of Low Emission Vehicles (OLEV)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F7B" w:rsidRDefault="009E7E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13251" o:spid="_x0000_s2050" type="#_x0000_t136" style="position:absolute;margin-left:0;margin-top:0;width:444.6pt;height:177.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F7B" w:rsidRDefault="00532F7B" w:rsidP="00532F7B">
    <w:pPr>
      <w:jc w:val="center"/>
      <w:rPr>
        <w:rFonts w:ascii="Verdana" w:hAnsi="Verdana"/>
        <w:b/>
        <w:sz w:val="22"/>
        <w:szCs w:val="22"/>
      </w:rPr>
    </w:pPr>
    <w:r w:rsidRPr="0093001A">
      <w:rPr>
        <w:rFonts w:ascii="Verdana" w:hAnsi="Verdana"/>
        <w:b/>
        <w:sz w:val="22"/>
        <w:szCs w:val="22"/>
      </w:rPr>
      <w:t>E</w:t>
    </w:r>
    <w:r w:rsidR="006951FD">
      <w:rPr>
        <w:rFonts w:ascii="Verdana" w:hAnsi="Verdana"/>
        <w:b/>
        <w:sz w:val="22"/>
        <w:szCs w:val="22"/>
      </w:rPr>
      <w:t>ye Neighbourhood Plan</w:t>
    </w:r>
  </w:p>
  <w:p w:rsidR="00532F7B" w:rsidRPr="0093001A" w:rsidRDefault="006951FD" w:rsidP="006951FD">
    <w:pPr>
      <w:jc w:val="center"/>
      <w:rPr>
        <w:rFonts w:ascii="Verdana" w:hAnsi="Verdana"/>
        <w:b/>
        <w:sz w:val="22"/>
        <w:szCs w:val="22"/>
      </w:rPr>
    </w:pPr>
    <w:r>
      <w:rPr>
        <w:rFonts w:ascii="Verdana" w:hAnsi="Verdana"/>
        <w:b/>
        <w:sz w:val="22"/>
        <w:szCs w:val="22"/>
      </w:rPr>
      <w:t xml:space="preserve">Supporting Document 15 </w:t>
    </w:r>
  </w:p>
  <w:p w:rsidR="00532F7B" w:rsidRDefault="00532F7B" w:rsidP="00532F7B">
    <w:pPr>
      <w:jc w:val="center"/>
      <w:rPr>
        <w:rFonts w:ascii="Verdana" w:hAnsi="Verdana"/>
        <w:b/>
        <w:sz w:val="22"/>
        <w:szCs w:val="22"/>
      </w:rPr>
    </w:pPr>
    <w:r w:rsidRPr="0093001A">
      <w:rPr>
        <w:rFonts w:ascii="Verdana" w:hAnsi="Verdana"/>
        <w:b/>
        <w:sz w:val="22"/>
        <w:szCs w:val="22"/>
      </w:rPr>
      <w:t>The future for sustainable transport in Eye – Electric vehicle charging</w:t>
    </w:r>
  </w:p>
  <w:p w:rsidR="00532F7B" w:rsidRDefault="00532F7B">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F7B" w:rsidRDefault="009E7E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13250" o:spid="_x0000_s2049" type="#_x0000_t136" style="position:absolute;margin-left:0;margin-top:0;width:444.6pt;height:177.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F4417"/>
    <w:multiLevelType w:val="hybridMultilevel"/>
    <w:tmpl w:val="56B0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1719F"/>
    <w:multiLevelType w:val="hybridMultilevel"/>
    <w:tmpl w:val="737E2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4A1A80"/>
    <w:multiLevelType w:val="hybridMultilevel"/>
    <w:tmpl w:val="A808B3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1902417"/>
    <w:multiLevelType w:val="hybridMultilevel"/>
    <w:tmpl w:val="5AA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FF52843"/>
    <w:multiLevelType w:val="hybridMultilevel"/>
    <w:tmpl w:val="8B62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7E08A8"/>
    <w:multiLevelType w:val="hybridMultilevel"/>
    <w:tmpl w:val="6A58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01A"/>
    <w:rsid w:val="0005369B"/>
    <w:rsid w:val="0009316A"/>
    <w:rsid w:val="000E5D44"/>
    <w:rsid w:val="001B6FE7"/>
    <w:rsid w:val="003A65BE"/>
    <w:rsid w:val="00424BBC"/>
    <w:rsid w:val="00514AA2"/>
    <w:rsid w:val="00532F7B"/>
    <w:rsid w:val="0057747E"/>
    <w:rsid w:val="006951FD"/>
    <w:rsid w:val="00892C2A"/>
    <w:rsid w:val="0093001A"/>
    <w:rsid w:val="009660CC"/>
    <w:rsid w:val="00971209"/>
    <w:rsid w:val="009A3B6D"/>
    <w:rsid w:val="009E7E2D"/>
    <w:rsid w:val="009F6B14"/>
    <w:rsid w:val="00A13DA3"/>
    <w:rsid w:val="00AB17C3"/>
    <w:rsid w:val="00AF044F"/>
    <w:rsid w:val="00C27E80"/>
    <w:rsid w:val="00CF5400"/>
    <w:rsid w:val="00D060FC"/>
    <w:rsid w:val="00D66BB2"/>
    <w:rsid w:val="00DE2CFD"/>
    <w:rsid w:val="00E5424E"/>
    <w:rsid w:val="00EC725B"/>
    <w:rsid w:val="00FC733F"/>
    <w:rsid w:val="00FC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DBBEEF0E-FDD0-49A7-8B0F-B7F6E7EF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5BE"/>
    <w:pPr>
      <w:ind w:left="720"/>
      <w:contextualSpacing/>
    </w:pPr>
  </w:style>
  <w:style w:type="paragraph" w:styleId="FootnoteText">
    <w:name w:val="footnote text"/>
    <w:basedOn w:val="Normal"/>
    <w:link w:val="FootnoteTextChar"/>
    <w:rsid w:val="009A3B6D"/>
    <w:rPr>
      <w:sz w:val="20"/>
      <w:szCs w:val="20"/>
    </w:rPr>
  </w:style>
  <w:style w:type="character" w:customStyle="1" w:styleId="FootnoteTextChar">
    <w:name w:val="Footnote Text Char"/>
    <w:basedOn w:val="DefaultParagraphFont"/>
    <w:link w:val="FootnoteText"/>
    <w:rsid w:val="009A3B6D"/>
  </w:style>
  <w:style w:type="character" w:styleId="FootnoteReference">
    <w:name w:val="footnote reference"/>
    <w:basedOn w:val="DefaultParagraphFont"/>
    <w:rsid w:val="009A3B6D"/>
    <w:rPr>
      <w:vertAlign w:val="superscript"/>
    </w:rPr>
  </w:style>
  <w:style w:type="character" w:styleId="Hyperlink">
    <w:name w:val="Hyperlink"/>
    <w:basedOn w:val="DefaultParagraphFont"/>
    <w:rsid w:val="009A3B6D"/>
    <w:rPr>
      <w:color w:val="0563C1" w:themeColor="hyperlink"/>
      <w:u w:val="single"/>
    </w:rPr>
  </w:style>
  <w:style w:type="character" w:styleId="FollowedHyperlink">
    <w:name w:val="FollowedHyperlink"/>
    <w:basedOn w:val="DefaultParagraphFont"/>
    <w:rsid w:val="00DE2CFD"/>
    <w:rPr>
      <w:color w:val="954F72" w:themeColor="followedHyperlink"/>
      <w:u w:val="single"/>
    </w:rPr>
  </w:style>
  <w:style w:type="paragraph" w:styleId="Header">
    <w:name w:val="header"/>
    <w:basedOn w:val="Normal"/>
    <w:link w:val="HeaderChar"/>
    <w:rsid w:val="00532F7B"/>
    <w:pPr>
      <w:tabs>
        <w:tab w:val="center" w:pos="4513"/>
        <w:tab w:val="right" w:pos="9026"/>
      </w:tabs>
    </w:pPr>
  </w:style>
  <w:style w:type="character" w:customStyle="1" w:styleId="HeaderChar">
    <w:name w:val="Header Char"/>
    <w:basedOn w:val="DefaultParagraphFont"/>
    <w:link w:val="Header"/>
    <w:rsid w:val="00532F7B"/>
    <w:rPr>
      <w:sz w:val="24"/>
      <w:szCs w:val="24"/>
    </w:rPr>
  </w:style>
  <w:style w:type="paragraph" w:styleId="Footer">
    <w:name w:val="footer"/>
    <w:basedOn w:val="Normal"/>
    <w:link w:val="FooterChar"/>
    <w:uiPriority w:val="99"/>
    <w:rsid w:val="00532F7B"/>
    <w:pPr>
      <w:tabs>
        <w:tab w:val="center" w:pos="4513"/>
        <w:tab w:val="right" w:pos="9026"/>
      </w:tabs>
    </w:pPr>
  </w:style>
  <w:style w:type="character" w:customStyle="1" w:styleId="FooterChar">
    <w:name w:val="Footer Char"/>
    <w:basedOn w:val="DefaultParagraphFont"/>
    <w:link w:val="Footer"/>
    <w:uiPriority w:val="99"/>
    <w:rsid w:val="00532F7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ing.com/images/search?view=detailV2&amp;ccid=rVSZ3hQl&amp;id=28F8E5EB91B9449E72851043CFEBA2F3BA569D57&amp;thid=OIP.rVSZ3hQlDhe-aGNSCuxWTwHaFj&amp;mediaurl=http://i.dailymail.co.uk/i/pix/2017/06/16/12/4176A34200000578-4607870-Bright_idea_Instead_of_installing_standalone_charge_points_a_Ger-a-1_1497611141005.jpg&amp;exph=476&amp;expw=634&amp;q=street+lighting+ev+charge+points&amp;simid=608037234192155068&amp;selectedIndex=1"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zap-map.com/charge-points/" TargetMode="External"/><Relationship Id="rId2" Type="http://schemas.openxmlformats.org/officeDocument/2006/relationships/hyperlink" Target="http://www.ukpowernetworks.co.uk/internet/en/have-your-say/documents/EV%20Presentation_2018.03.13_V0.1" TargetMode="External"/><Relationship Id="rId1" Type="http://schemas.openxmlformats.org/officeDocument/2006/relationships/hyperlink" Target="https://www.gov.uk/government/publications/reducing-emissions-from-road-transport-road-to-zero-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3E95-B01F-49A0-868D-86B4B9E7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Gudde, Peter</dc:creator>
  <cp:keywords/>
  <dc:description/>
  <cp:lastModifiedBy>Andy Robinson</cp:lastModifiedBy>
  <cp:revision>2</cp:revision>
  <dcterms:created xsi:type="dcterms:W3CDTF">2018-10-08T08:35:00Z</dcterms:created>
  <dcterms:modified xsi:type="dcterms:W3CDTF">2018-10-08T08:35:00Z</dcterms:modified>
</cp:coreProperties>
</file>